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page" w:horzAnchor="margin" w:tblpXSpec="center" w:tblpY="2791"/>
        <w:tblW w:w="14400" w:type="dxa"/>
        <w:tblLook w:val="04A0" w:firstRow="1" w:lastRow="0" w:firstColumn="1" w:lastColumn="0" w:noHBand="0" w:noVBand="1"/>
      </w:tblPr>
      <w:tblGrid>
        <w:gridCol w:w="4410"/>
        <w:gridCol w:w="9990"/>
      </w:tblGrid>
      <w:tr w:rsidR="009B1D7D" w:rsidRPr="002300EB" w14:paraId="5BF56C7B" w14:textId="77777777" w:rsidTr="00FF6C75">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43E9CDCE" w14:textId="77777777" w:rsidR="009B1D7D" w:rsidRPr="002300EB" w:rsidRDefault="009B1D7D" w:rsidP="00FF6C75">
            <w:pPr>
              <w:rPr>
                <w:sz w:val="18"/>
                <w:szCs w:val="18"/>
              </w:rPr>
            </w:pPr>
            <w:r w:rsidRPr="002300EB">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7B8943A8" w14:textId="77777777" w:rsidR="009B1D7D" w:rsidRPr="002300EB" w:rsidRDefault="009B1D7D" w:rsidP="00FF6C75">
            <w:pPr>
              <w:spacing w:after="120"/>
              <w:jc w:val="both"/>
              <w:rPr>
                <w:sz w:val="18"/>
                <w:szCs w:val="18"/>
              </w:rPr>
            </w:pPr>
            <w:r w:rsidRPr="002300EB">
              <w:rPr>
                <w:sz w:val="18"/>
                <w:szCs w:val="18"/>
              </w:rPr>
              <w:t>J.P. Morgan Securities plc (K6Q0W1PS1L1O4IQL9C32)</w:t>
            </w:r>
          </w:p>
        </w:tc>
      </w:tr>
      <w:tr w:rsidR="009B1D7D" w:rsidRPr="002300EB" w14:paraId="05C9346E" w14:textId="77777777" w:rsidTr="00FF6C75">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14F8C9D" w14:textId="77777777" w:rsidR="009B1D7D" w:rsidRPr="002300EB" w:rsidRDefault="009B1D7D" w:rsidP="00FF6C75">
            <w:pPr>
              <w:rPr>
                <w:sz w:val="18"/>
                <w:szCs w:val="18"/>
              </w:rPr>
            </w:pPr>
            <w:r w:rsidRPr="002300EB">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13D24C63" w14:textId="66198D5E" w:rsidR="009B1D7D" w:rsidRPr="002300EB" w:rsidRDefault="004274A5" w:rsidP="00FF6C75">
            <w:pPr>
              <w:spacing w:after="120"/>
              <w:jc w:val="both"/>
              <w:rPr>
                <w:color w:val="0000FF"/>
                <w:sz w:val="18"/>
                <w:szCs w:val="18"/>
              </w:rPr>
            </w:pPr>
            <w:r w:rsidRPr="004274A5">
              <w:rPr>
                <w:sz w:val="18"/>
                <w:szCs w:val="18"/>
              </w:rPr>
              <w:t xml:space="preserve">Debt </w:t>
            </w:r>
            <w:r w:rsidR="00A75957">
              <w:rPr>
                <w:sz w:val="18"/>
                <w:szCs w:val="18"/>
              </w:rPr>
              <w:t>i</w:t>
            </w:r>
            <w:r w:rsidRPr="004274A5">
              <w:rPr>
                <w:sz w:val="18"/>
                <w:szCs w:val="18"/>
              </w:rPr>
              <w:t>nstruments: Bonds</w:t>
            </w:r>
          </w:p>
        </w:tc>
      </w:tr>
      <w:tr w:rsidR="009B1D7D" w:rsidRPr="002300EB" w14:paraId="2CB919BB" w14:textId="77777777" w:rsidTr="00FF6C75">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12ED17DC" w14:textId="77777777" w:rsidR="009B1D7D" w:rsidRPr="002300EB" w:rsidRDefault="009B1D7D" w:rsidP="00FF6C75">
            <w:pPr>
              <w:jc w:val="center"/>
              <w:rPr>
                <w:sz w:val="18"/>
                <w:szCs w:val="18"/>
              </w:rPr>
            </w:pPr>
            <w:r w:rsidRPr="002300EB">
              <w:rPr>
                <w:sz w:val="18"/>
                <w:szCs w:val="18"/>
              </w:rPr>
              <w:t>Summary of Analysis</w:t>
            </w:r>
          </w:p>
        </w:tc>
      </w:tr>
      <w:tr w:rsidR="009B1D7D" w:rsidRPr="002300EB" w14:paraId="73E498BF" w14:textId="77777777" w:rsidTr="00FF6C75">
        <w:trPr>
          <w:trHeight w:val="827"/>
        </w:trPr>
        <w:tc>
          <w:tcPr>
            <w:tcW w:w="14400" w:type="dxa"/>
            <w:gridSpan w:val="2"/>
            <w:tcBorders>
              <w:left w:val="single" w:sz="12" w:space="0" w:color="auto"/>
              <w:right w:val="single" w:sz="12" w:space="0" w:color="auto"/>
            </w:tcBorders>
          </w:tcPr>
          <w:p w14:paraId="541CE75C" w14:textId="4187B91B" w:rsidR="009B1D7D" w:rsidRPr="002300EB" w:rsidRDefault="000B3FBD" w:rsidP="00FF6C75">
            <w:pPr>
              <w:spacing w:after="120"/>
              <w:jc w:val="both"/>
              <w:rPr>
                <w:sz w:val="18"/>
                <w:szCs w:val="18"/>
              </w:rPr>
            </w:pPr>
            <w:r>
              <w:rPr>
                <w:sz w:val="18"/>
                <w:szCs w:val="18"/>
              </w:rPr>
              <w:t>For the year of 2020 i</w:t>
            </w:r>
            <w:r w:rsidR="009B1D7D" w:rsidRPr="002300EB">
              <w:rPr>
                <w:sz w:val="18"/>
                <w:szCs w:val="18"/>
              </w:rPr>
              <w:t>n respect of eCommerce Orders, J.P. Morgan Securities plc collated quoted bid/offer spreads over a rolling time frame, and analysed these in comparison to completed leave transactions</w:t>
            </w:r>
            <w:r>
              <w:rPr>
                <w:sz w:val="18"/>
                <w:szCs w:val="18"/>
              </w:rPr>
              <w:t xml:space="preserve"> (on a post-trade basis)</w:t>
            </w:r>
            <w:r w:rsidR="009B1D7D" w:rsidRPr="002300EB">
              <w:rPr>
                <w:sz w:val="18"/>
                <w:szCs w:val="18"/>
              </w:rPr>
              <w:t xml:space="preserve"> to identify outliers. </w:t>
            </w:r>
            <w:r w:rsidRPr="002300EB">
              <w:rPr>
                <w:bCs/>
                <w:color w:val="000000" w:themeColor="text1"/>
                <w:sz w:val="18"/>
                <w:szCs w:val="18"/>
              </w:rPr>
              <w:t>The results of th</w:t>
            </w:r>
            <w:r w:rsidR="000D1EDA">
              <w:rPr>
                <w:bCs/>
                <w:color w:val="000000" w:themeColor="text1"/>
                <w:sz w:val="18"/>
                <w:szCs w:val="18"/>
              </w:rPr>
              <w:t>is</w:t>
            </w:r>
            <w:r>
              <w:rPr>
                <w:bCs/>
                <w:color w:val="000000" w:themeColor="text1"/>
                <w:sz w:val="18"/>
                <w:szCs w:val="18"/>
              </w:rPr>
              <w:t xml:space="preserve"> Best Execution</w:t>
            </w:r>
            <w:r w:rsidRPr="002300EB">
              <w:rPr>
                <w:bCs/>
                <w:color w:val="000000" w:themeColor="text1"/>
                <w:sz w:val="18"/>
                <w:szCs w:val="18"/>
              </w:rPr>
              <w:t xml:space="preserve"> </w:t>
            </w:r>
            <w:r w:rsidR="000D1EDA">
              <w:rPr>
                <w:bCs/>
                <w:color w:val="000000" w:themeColor="text1"/>
                <w:sz w:val="18"/>
                <w:szCs w:val="18"/>
              </w:rPr>
              <w:t>analysis</w:t>
            </w:r>
            <w:r w:rsidRPr="002300EB">
              <w:rPr>
                <w:bCs/>
                <w:color w:val="000000" w:themeColor="text1"/>
                <w:sz w:val="18"/>
                <w:szCs w:val="18"/>
              </w:rPr>
              <w:t xml:space="preserve"> were reviewed by </w:t>
            </w:r>
            <w:r w:rsidRPr="002300EB">
              <w:rPr>
                <w:color w:val="000000" w:themeColor="text1"/>
                <w:sz w:val="18"/>
                <w:szCs w:val="18"/>
              </w:rPr>
              <w:t xml:space="preserve">J.P. Morgan </w:t>
            </w:r>
            <w:r w:rsidRPr="002300EB">
              <w:rPr>
                <w:bCs/>
                <w:color w:val="000000" w:themeColor="text1"/>
                <w:sz w:val="18"/>
                <w:szCs w:val="18"/>
              </w:rPr>
              <w:t>m</w:t>
            </w:r>
            <w:r>
              <w:rPr>
                <w:bCs/>
                <w:color w:val="000000" w:themeColor="text1"/>
                <w:sz w:val="18"/>
                <w:szCs w:val="18"/>
              </w:rPr>
              <w:t>anagement and control functions and</w:t>
            </w:r>
            <w:r w:rsidRPr="002300EB">
              <w:rPr>
                <w:bCs/>
                <w:color w:val="000000" w:themeColor="text1"/>
                <w:sz w:val="18"/>
                <w:szCs w:val="18"/>
              </w:rPr>
              <w:t xml:space="preserve"> were in line with </w:t>
            </w:r>
            <w:r w:rsidRPr="002300EB">
              <w:rPr>
                <w:color w:val="000000" w:themeColor="text1"/>
                <w:sz w:val="18"/>
                <w:szCs w:val="18"/>
              </w:rPr>
              <w:t xml:space="preserve">J.P. Morgan Securities plc </w:t>
            </w:r>
            <w:r w:rsidRPr="002300EB">
              <w:rPr>
                <w:bCs/>
                <w:color w:val="000000" w:themeColor="text1"/>
                <w:sz w:val="18"/>
                <w:szCs w:val="18"/>
              </w:rPr>
              <w:t>expectations</w:t>
            </w:r>
            <w:r w:rsidRPr="002300EB">
              <w:rPr>
                <w:b/>
                <w:bCs/>
                <w:color w:val="000000" w:themeColor="text1"/>
                <w:sz w:val="18"/>
                <w:szCs w:val="18"/>
              </w:rPr>
              <w:t>.</w:t>
            </w:r>
            <w:r w:rsidR="009B1D7D" w:rsidRPr="002300EB">
              <w:rPr>
                <w:sz w:val="18"/>
                <w:szCs w:val="18"/>
              </w:rPr>
              <w:t xml:space="preserve"> Clients direct their orders to J.P. Morgan Securities plc to execute as principal and we therefore treat all orders as directed as we are the sole execution venue.</w:t>
            </w:r>
          </w:p>
        </w:tc>
      </w:tr>
      <w:tr w:rsidR="009B1D7D" w:rsidRPr="002300EB" w14:paraId="5BC2F709" w14:textId="77777777" w:rsidTr="00FF6C75">
        <w:tc>
          <w:tcPr>
            <w:tcW w:w="4410" w:type="dxa"/>
            <w:tcBorders>
              <w:left w:val="single" w:sz="12" w:space="0" w:color="auto"/>
            </w:tcBorders>
            <w:shd w:val="clear" w:color="auto" w:fill="D9D9D9" w:themeFill="background1" w:themeFillShade="D9"/>
          </w:tcPr>
          <w:p w14:paraId="23C4DFE8" w14:textId="77777777" w:rsidR="009B1D7D" w:rsidRPr="002300EB" w:rsidRDefault="009B1D7D" w:rsidP="00FF6C75">
            <w:pPr>
              <w:rPr>
                <w:sz w:val="18"/>
                <w:szCs w:val="18"/>
              </w:rPr>
            </w:pPr>
            <w:r w:rsidRPr="002300EB">
              <w:rPr>
                <w:sz w:val="18"/>
                <w:szCs w:val="18"/>
              </w:rPr>
              <w:t>Relative importance given to execution factors &amp; other considerations</w:t>
            </w:r>
          </w:p>
        </w:tc>
        <w:tc>
          <w:tcPr>
            <w:tcW w:w="9990" w:type="dxa"/>
            <w:tcBorders>
              <w:right w:val="single" w:sz="12" w:space="0" w:color="auto"/>
            </w:tcBorders>
          </w:tcPr>
          <w:p w14:paraId="52CE9F52" w14:textId="075B651F" w:rsidR="009B1D7D" w:rsidRPr="002300EB" w:rsidRDefault="009B1D7D" w:rsidP="00FF6C75">
            <w:pPr>
              <w:spacing w:after="120"/>
              <w:jc w:val="both"/>
              <w:rPr>
                <w:i/>
                <w:sz w:val="18"/>
                <w:szCs w:val="18"/>
              </w:rPr>
            </w:pPr>
            <w:r w:rsidRPr="002300EB">
              <w:rPr>
                <w:sz w:val="18"/>
                <w:szCs w:val="18"/>
              </w:rPr>
              <w:t xml:space="preserve">As per Appendix 5 of the </w:t>
            </w:r>
            <w:hyperlink r:id="rId11" w:history="1">
              <w:r w:rsidRPr="002300EB">
                <w:rPr>
                  <w:rStyle w:val="Hyperlink"/>
                  <w:sz w:val="18"/>
                  <w:szCs w:val="18"/>
                </w:rPr>
                <w:t>J.P. Morgan Execution Policy</w:t>
              </w:r>
            </w:hyperlink>
            <w:r w:rsidRPr="002300EB">
              <w:rPr>
                <w:sz w:val="18"/>
                <w:szCs w:val="18"/>
              </w:rPr>
              <w:t xml:space="preserve"> price is the most important factor. After price, the likelihood of execution and the ability to fill a client’s order in its entirety – or at least a substantial part of it – are the most important factors. This latter factor increases in importance in situations where access to liquidity in the relevant instrument is constrained in some way – for example, if the </w:t>
            </w:r>
            <w:r w:rsidR="0046494B">
              <w:rPr>
                <w:sz w:val="18"/>
                <w:szCs w:val="18"/>
              </w:rPr>
              <w:t xml:space="preserve">Debt </w:t>
            </w:r>
            <w:r w:rsidR="00292576">
              <w:rPr>
                <w:sz w:val="18"/>
                <w:szCs w:val="18"/>
              </w:rPr>
              <w:t>i</w:t>
            </w:r>
            <w:r w:rsidR="0046494B">
              <w:rPr>
                <w:sz w:val="18"/>
                <w:szCs w:val="18"/>
              </w:rPr>
              <w:t>nstrument (Bond) is illiquid</w:t>
            </w:r>
            <w:r w:rsidRPr="002300EB">
              <w:rPr>
                <w:sz w:val="18"/>
                <w:szCs w:val="18"/>
              </w:rPr>
              <w:t>, or if the limit price provided is not marketable.</w:t>
            </w:r>
          </w:p>
        </w:tc>
      </w:tr>
      <w:tr w:rsidR="009B1D7D" w:rsidRPr="002300EB" w14:paraId="5A252126" w14:textId="77777777" w:rsidTr="00FF6C75">
        <w:tc>
          <w:tcPr>
            <w:tcW w:w="4410" w:type="dxa"/>
            <w:tcBorders>
              <w:left w:val="single" w:sz="12" w:space="0" w:color="auto"/>
            </w:tcBorders>
            <w:shd w:val="clear" w:color="auto" w:fill="D9D9D9" w:themeFill="background1" w:themeFillShade="D9"/>
          </w:tcPr>
          <w:p w14:paraId="618C03D6" w14:textId="77777777" w:rsidR="009B1D7D" w:rsidRPr="002300EB" w:rsidRDefault="009B1D7D" w:rsidP="00FF6C75">
            <w:pPr>
              <w:rPr>
                <w:sz w:val="18"/>
                <w:szCs w:val="18"/>
              </w:rPr>
            </w:pPr>
            <w:r w:rsidRPr="002300EB">
              <w:rPr>
                <w:sz w:val="18"/>
                <w:szCs w:val="18"/>
              </w:rPr>
              <w:t>Execution venue close links / conflicts of interest / common ownerships</w:t>
            </w:r>
          </w:p>
        </w:tc>
        <w:tc>
          <w:tcPr>
            <w:tcW w:w="9990" w:type="dxa"/>
            <w:tcBorders>
              <w:right w:val="single" w:sz="12" w:space="0" w:color="auto"/>
            </w:tcBorders>
          </w:tcPr>
          <w:p w14:paraId="537C1457" w14:textId="77777777" w:rsidR="009B1D7D" w:rsidRPr="002300EB" w:rsidRDefault="009B1D7D" w:rsidP="00FF6C75">
            <w:pPr>
              <w:rPr>
                <w:sz w:val="18"/>
                <w:szCs w:val="18"/>
              </w:rPr>
            </w:pPr>
            <w:r w:rsidRPr="002300EB">
              <w:rPr>
                <w:sz w:val="18"/>
                <w:szCs w:val="18"/>
              </w:rPr>
              <w:t>J.P. Morgan Securities plc is a fully owned subsidiary of JPMorgan Chase &amp; Co.</w:t>
            </w:r>
          </w:p>
        </w:tc>
      </w:tr>
      <w:tr w:rsidR="009B1D7D" w:rsidRPr="002300EB" w14:paraId="65A3BFCB" w14:textId="77777777" w:rsidTr="00FF6C75">
        <w:tc>
          <w:tcPr>
            <w:tcW w:w="4410" w:type="dxa"/>
            <w:tcBorders>
              <w:left w:val="single" w:sz="12" w:space="0" w:color="auto"/>
            </w:tcBorders>
            <w:shd w:val="clear" w:color="auto" w:fill="D9D9D9" w:themeFill="background1" w:themeFillShade="D9"/>
          </w:tcPr>
          <w:p w14:paraId="5D759CF3" w14:textId="77777777" w:rsidR="009B1D7D" w:rsidRPr="002300EB" w:rsidRDefault="009B1D7D" w:rsidP="00FF6C75">
            <w:pPr>
              <w:rPr>
                <w:sz w:val="18"/>
                <w:szCs w:val="18"/>
              </w:rPr>
            </w:pPr>
            <w:r w:rsidRPr="002300EB">
              <w:rPr>
                <w:sz w:val="18"/>
                <w:szCs w:val="18"/>
              </w:rPr>
              <w:t>Specific execution venue arrangements</w:t>
            </w:r>
          </w:p>
        </w:tc>
        <w:tc>
          <w:tcPr>
            <w:tcW w:w="9990" w:type="dxa"/>
            <w:tcBorders>
              <w:right w:val="single" w:sz="12" w:space="0" w:color="auto"/>
            </w:tcBorders>
          </w:tcPr>
          <w:p w14:paraId="0412F092" w14:textId="77777777" w:rsidR="009B1D7D" w:rsidRPr="002300EB" w:rsidRDefault="009B1D7D" w:rsidP="00FF6C75">
            <w:pPr>
              <w:rPr>
                <w:sz w:val="18"/>
                <w:szCs w:val="18"/>
              </w:rPr>
            </w:pPr>
            <w:r w:rsidRPr="002300EB">
              <w:rPr>
                <w:sz w:val="18"/>
                <w:szCs w:val="18"/>
              </w:rPr>
              <w:t xml:space="preserve">J.P. Morgan Securities plc is the sole execution venue. </w:t>
            </w:r>
          </w:p>
        </w:tc>
      </w:tr>
      <w:tr w:rsidR="009B1D7D" w:rsidRPr="002300EB" w14:paraId="1CEB7568" w14:textId="77777777" w:rsidTr="00FF6C75">
        <w:trPr>
          <w:trHeight w:val="368"/>
        </w:trPr>
        <w:tc>
          <w:tcPr>
            <w:tcW w:w="4410" w:type="dxa"/>
            <w:tcBorders>
              <w:left w:val="single" w:sz="12" w:space="0" w:color="auto"/>
            </w:tcBorders>
            <w:shd w:val="clear" w:color="auto" w:fill="D9D9D9" w:themeFill="background1" w:themeFillShade="D9"/>
          </w:tcPr>
          <w:p w14:paraId="5601B5C5" w14:textId="77777777" w:rsidR="009B1D7D" w:rsidRPr="002300EB" w:rsidRDefault="009B1D7D" w:rsidP="00FF6C75">
            <w:pPr>
              <w:rPr>
                <w:sz w:val="18"/>
                <w:szCs w:val="18"/>
              </w:rPr>
            </w:pPr>
            <w:r w:rsidRPr="002300EB">
              <w:rPr>
                <w:sz w:val="18"/>
                <w:szCs w:val="18"/>
              </w:rPr>
              <w:t>Changes to execution venues</w:t>
            </w:r>
          </w:p>
        </w:tc>
        <w:tc>
          <w:tcPr>
            <w:tcW w:w="9990" w:type="dxa"/>
            <w:tcBorders>
              <w:right w:val="single" w:sz="12" w:space="0" w:color="auto"/>
            </w:tcBorders>
          </w:tcPr>
          <w:p w14:paraId="1AA73D68" w14:textId="77777777" w:rsidR="009B1D7D" w:rsidRPr="002300EB" w:rsidRDefault="009B1D7D" w:rsidP="00FF6C75">
            <w:pPr>
              <w:spacing w:after="120"/>
              <w:rPr>
                <w:sz w:val="18"/>
                <w:szCs w:val="18"/>
              </w:rPr>
            </w:pPr>
            <w:r w:rsidRPr="002300EB">
              <w:rPr>
                <w:sz w:val="18"/>
                <w:szCs w:val="18"/>
              </w:rPr>
              <w:t>Not Applicable</w:t>
            </w:r>
          </w:p>
        </w:tc>
      </w:tr>
      <w:tr w:rsidR="009B1D7D" w:rsidRPr="002300EB" w14:paraId="26F52F68" w14:textId="77777777" w:rsidTr="00FF6C75">
        <w:tc>
          <w:tcPr>
            <w:tcW w:w="4410" w:type="dxa"/>
            <w:tcBorders>
              <w:left w:val="single" w:sz="12" w:space="0" w:color="auto"/>
            </w:tcBorders>
            <w:shd w:val="clear" w:color="auto" w:fill="D9D9D9" w:themeFill="background1" w:themeFillShade="D9"/>
          </w:tcPr>
          <w:p w14:paraId="1003DA38" w14:textId="77777777" w:rsidR="009B1D7D" w:rsidRPr="002300EB" w:rsidRDefault="009B1D7D" w:rsidP="00FF6C75">
            <w:pPr>
              <w:rPr>
                <w:sz w:val="18"/>
                <w:szCs w:val="18"/>
              </w:rPr>
            </w:pPr>
            <w:r w:rsidRPr="002300EB">
              <w:rPr>
                <w:sz w:val="18"/>
                <w:szCs w:val="18"/>
              </w:rPr>
              <w:t>Client distinctions</w:t>
            </w:r>
          </w:p>
        </w:tc>
        <w:tc>
          <w:tcPr>
            <w:tcW w:w="9990" w:type="dxa"/>
            <w:tcBorders>
              <w:right w:val="single" w:sz="12" w:space="0" w:color="auto"/>
            </w:tcBorders>
          </w:tcPr>
          <w:p w14:paraId="7ED75C19" w14:textId="77777777" w:rsidR="009B1D7D" w:rsidRPr="002300EB" w:rsidRDefault="009B1D7D" w:rsidP="00FF6C75">
            <w:pPr>
              <w:spacing w:after="120"/>
              <w:rPr>
                <w:sz w:val="18"/>
                <w:szCs w:val="18"/>
              </w:rPr>
            </w:pPr>
            <w:r w:rsidRPr="002300EB">
              <w:rPr>
                <w:sz w:val="18"/>
                <w:szCs w:val="18"/>
              </w:rPr>
              <w:t xml:space="preserve">J.P. Morgan Securities plc only deals with Professional clients for the purposes of Best Execution.  </w:t>
            </w:r>
          </w:p>
        </w:tc>
      </w:tr>
      <w:tr w:rsidR="009B1D7D" w:rsidRPr="002300EB" w14:paraId="4DE52AF5" w14:textId="77777777" w:rsidTr="00FF6C75">
        <w:trPr>
          <w:trHeight w:val="70"/>
        </w:trPr>
        <w:tc>
          <w:tcPr>
            <w:tcW w:w="4410" w:type="dxa"/>
            <w:tcBorders>
              <w:left w:val="single" w:sz="12" w:space="0" w:color="auto"/>
            </w:tcBorders>
            <w:shd w:val="clear" w:color="auto" w:fill="D9D9D9" w:themeFill="background1" w:themeFillShade="D9"/>
          </w:tcPr>
          <w:p w14:paraId="27287A3B" w14:textId="77777777" w:rsidR="009B1D7D" w:rsidRPr="002300EB" w:rsidRDefault="009B1D7D" w:rsidP="00FF6C75">
            <w:pPr>
              <w:rPr>
                <w:sz w:val="18"/>
                <w:szCs w:val="18"/>
              </w:rPr>
            </w:pPr>
            <w:r w:rsidRPr="002300EB">
              <w:rPr>
                <w:sz w:val="18"/>
                <w:szCs w:val="18"/>
              </w:rPr>
              <w:t>Use of data/tools relating to the quality of execution</w:t>
            </w:r>
          </w:p>
        </w:tc>
        <w:tc>
          <w:tcPr>
            <w:tcW w:w="9990" w:type="dxa"/>
            <w:tcBorders>
              <w:right w:val="single" w:sz="12" w:space="0" w:color="auto"/>
            </w:tcBorders>
          </w:tcPr>
          <w:p w14:paraId="56E5EDEB" w14:textId="58431B6B" w:rsidR="009B1D7D" w:rsidRPr="002300EB" w:rsidRDefault="009B1D7D" w:rsidP="00FF6C75">
            <w:pPr>
              <w:spacing w:after="120"/>
              <w:rPr>
                <w:sz w:val="18"/>
                <w:szCs w:val="18"/>
              </w:rPr>
            </w:pPr>
            <w:r w:rsidRPr="002300EB">
              <w:rPr>
                <w:sz w:val="18"/>
                <w:szCs w:val="18"/>
              </w:rPr>
              <w:t>As per Appendix 5 of the</w:t>
            </w:r>
            <w:hyperlink r:id="rId12" w:history="1">
              <w:r w:rsidRPr="00AF11BB">
                <w:rPr>
                  <w:rStyle w:val="Hyperlink"/>
                  <w:sz w:val="18"/>
                  <w:szCs w:val="18"/>
                </w:rPr>
                <w:t xml:space="preserve"> J.P. Morgan Execution Policy,</w:t>
              </w:r>
            </w:hyperlink>
            <w:r w:rsidRPr="002300EB">
              <w:rPr>
                <w:sz w:val="18"/>
                <w:szCs w:val="18"/>
              </w:rPr>
              <w:t xml:space="preserve"> a range of market data sources are utilised by J.P. Morgan’s eCommerce business in the formation of principal risk prices. Both readily available market data and J.P. Morgan internal transaction data are used to assess the quality of execution for in-scope orders. Thresholds comparing execution pricing with such data are set by J.P. Morgan to monitor execution quality. The results of Best Execution monitoring are reviewed by control-related functions within J.P. Morgan on an ongoing basis and are discussed by J.P. Morgan management and control functions within a committee that has been established for the purpose of governing Best Execution</w:t>
            </w:r>
            <w:r w:rsidR="00292576">
              <w:rPr>
                <w:sz w:val="18"/>
                <w:szCs w:val="18"/>
              </w:rPr>
              <w:t>.</w:t>
            </w:r>
          </w:p>
        </w:tc>
      </w:tr>
      <w:tr w:rsidR="009B1D7D" w:rsidRPr="002300EB" w14:paraId="581E60C2" w14:textId="77777777" w:rsidTr="00FF6C75">
        <w:tc>
          <w:tcPr>
            <w:tcW w:w="4410" w:type="dxa"/>
            <w:tcBorders>
              <w:left w:val="single" w:sz="12" w:space="0" w:color="auto"/>
              <w:bottom w:val="single" w:sz="12" w:space="0" w:color="auto"/>
            </w:tcBorders>
            <w:shd w:val="clear" w:color="auto" w:fill="D9D9D9" w:themeFill="background1" w:themeFillShade="D9"/>
          </w:tcPr>
          <w:p w14:paraId="6BADE9FE" w14:textId="77777777" w:rsidR="009B1D7D" w:rsidRPr="002300EB" w:rsidRDefault="009B1D7D" w:rsidP="00FF6C75">
            <w:pPr>
              <w:rPr>
                <w:sz w:val="18"/>
                <w:szCs w:val="18"/>
              </w:rPr>
            </w:pPr>
            <w:r w:rsidRPr="002300EB">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09F6B22F" w14:textId="77777777" w:rsidR="009B1D7D" w:rsidRPr="002300EB" w:rsidRDefault="009B1D7D" w:rsidP="00FF6C75">
            <w:pPr>
              <w:spacing w:after="120"/>
              <w:rPr>
                <w:sz w:val="18"/>
                <w:szCs w:val="18"/>
              </w:rPr>
            </w:pPr>
            <w:r w:rsidRPr="002300EB">
              <w:rPr>
                <w:sz w:val="18"/>
                <w:szCs w:val="18"/>
              </w:rPr>
              <w:t>Not Applicable</w:t>
            </w:r>
          </w:p>
        </w:tc>
      </w:tr>
    </w:tbl>
    <w:p w14:paraId="0B5A0FDD" w14:textId="72C0573B" w:rsidR="000B7F7D" w:rsidRDefault="000B7F7D" w:rsidP="000B7F7D">
      <w:pPr>
        <w:rPr>
          <w:color w:val="FF0000"/>
          <w:sz w:val="18"/>
          <w:szCs w:val="18"/>
        </w:rPr>
      </w:pPr>
    </w:p>
    <w:p w14:paraId="57DF746F" w14:textId="3282A5DC" w:rsidR="00FF6C75" w:rsidRDefault="00FF6C75" w:rsidP="000B7F7D">
      <w:pPr>
        <w:rPr>
          <w:color w:val="FF0000"/>
          <w:sz w:val="18"/>
          <w:szCs w:val="18"/>
        </w:rPr>
      </w:pPr>
    </w:p>
    <w:p w14:paraId="5921B31A" w14:textId="7CE0BF8A" w:rsidR="00FF6C75" w:rsidRDefault="00FF6C75" w:rsidP="000B7F7D">
      <w:pPr>
        <w:rPr>
          <w:color w:val="FF0000"/>
          <w:sz w:val="18"/>
          <w:szCs w:val="18"/>
        </w:rPr>
      </w:pPr>
    </w:p>
    <w:p w14:paraId="5520FBD4" w14:textId="6D69E707" w:rsidR="00FF6C75" w:rsidRDefault="00FF6C75" w:rsidP="000B7F7D">
      <w:pPr>
        <w:rPr>
          <w:color w:val="FF0000"/>
          <w:sz w:val="18"/>
          <w:szCs w:val="18"/>
        </w:rPr>
      </w:pPr>
    </w:p>
    <w:p w14:paraId="12D0F0C8" w14:textId="74B1D83C" w:rsidR="00FF6C75" w:rsidRDefault="00FF6C75" w:rsidP="000B7F7D">
      <w:pPr>
        <w:rPr>
          <w:color w:val="FF0000"/>
          <w:sz w:val="18"/>
          <w:szCs w:val="18"/>
        </w:rPr>
      </w:pPr>
    </w:p>
    <w:p w14:paraId="65C15CBF" w14:textId="460FFB68" w:rsidR="00FF6C75" w:rsidRDefault="00FF6C75" w:rsidP="000B7F7D">
      <w:pPr>
        <w:rPr>
          <w:color w:val="FF0000"/>
          <w:sz w:val="18"/>
          <w:szCs w:val="18"/>
        </w:rPr>
      </w:pPr>
    </w:p>
    <w:p w14:paraId="6E2C8D76" w14:textId="3E3BC90D" w:rsidR="00FF6C75" w:rsidRDefault="00FF6C75" w:rsidP="000B7F7D">
      <w:pPr>
        <w:rPr>
          <w:color w:val="FF0000"/>
          <w:sz w:val="18"/>
          <w:szCs w:val="18"/>
        </w:rPr>
      </w:pPr>
    </w:p>
    <w:p w14:paraId="169CC1D4" w14:textId="79489581" w:rsidR="00FF6C75" w:rsidRDefault="00FF6C75" w:rsidP="000B7F7D">
      <w:pPr>
        <w:rPr>
          <w:color w:val="FF0000"/>
          <w:sz w:val="18"/>
          <w:szCs w:val="18"/>
        </w:rPr>
      </w:pPr>
    </w:p>
    <w:p w14:paraId="709C6ECB" w14:textId="3C53688B" w:rsidR="00FF6C75" w:rsidRDefault="00FF6C75" w:rsidP="000B7F7D">
      <w:pPr>
        <w:rPr>
          <w:color w:val="FF0000"/>
          <w:sz w:val="18"/>
          <w:szCs w:val="18"/>
        </w:rPr>
      </w:pPr>
    </w:p>
    <w:p w14:paraId="66DE6DA4" w14:textId="7E2121EA" w:rsidR="00FF6C75" w:rsidRDefault="00FF6C75" w:rsidP="000B7F7D">
      <w:pPr>
        <w:rPr>
          <w:color w:val="FF0000"/>
          <w:sz w:val="18"/>
          <w:szCs w:val="18"/>
        </w:rPr>
      </w:pPr>
    </w:p>
    <w:p w14:paraId="581EF914" w14:textId="374663D6" w:rsidR="00FF6C75" w:rsidRDefault="00FF6C75" w:rsidP="000B7F7D">
      <w:pPr>
        <w:rPr>
          <w:color w:val="FF0000"/>
          <w:sz w:val="18"/>
          <w:szCs w:val="18"/>
        </w:rPr>
      </w:pPr>
    </w:p>
    <w:p w14:paraId="2270CDFA" w14:textId="77777777" w:rsidR="00FF6C75" w:rsidRDefault="00FF6C75" w:rsidP="000B7F7D">
      <w:pPr>
        <w:rPr>
          <w:color w:val="FF0000"/>
          <w:sz w:val="18"/>
          <w:szCs w:val="18"/>
        </w:rPr>
      </w:pPr>
    </w:p>
    <w:p w14:paraId="125989E6" w14:textId="100C08D6" w:rsidR="00FF6C75" w:rsidRDefault="00FF6C75" w:rsidP="000B7F7D">
      <w:pPr>
        <w:rPr>
          <w:color w:val="FF0000"/>
          <w:sz w:val="18"/>
          <w:szCs w:val="18"/>
        </w:rPr>
      </w:pPr>
    </w:p>
    <w:p w14:paraId="38BBA9C6" w14:textId="126CD4F8" w:rsidR="00FF6C75" w:rsidRDefault="00FF6C75" w:rsidP="000B7F7D">
      <w:pPr>
        <w:rPr>
          <w:color w:val="FF0000"/>
          <w:sz w:val="18"/>
          <w:szCs w:val="18"/>
        </w:rPr>
      </w:pPr>
    </w:p>
    <w:p w14:paraId="7432DEDF" w14:textId="5E9CF45D" w:rsidR="00FF6C75" w:rsidRDefault="00FF6C75" w:rsidP="000B7F7D">
      <w:pPr>
        <w:rPr>
          <w:color w:val="FF0000"/>
          <w:sz w:val="18"/>
          <w:szCs w:val="18"/>
        </w:rPr>
      </w:pPr>
    </w:p>
    <w:tbl>
      <w:tblPr>
        <w:tblStyle w:val="TableGrid"/>
        <w:tblpPr w:leftFromText="180" w:rightFromText="180" w:vertAnchor="page" w:horzAnchor="margin" w:tblpXSpec="center" w:tblpY="3121"/>
        <w:tblW w:w="14400" w:type="dxa"/>
        <w:tblLook w:val="04A0" w:firstRow="1" w:lastRow="0" w:firstColumn="1" w:lastColumn="0" w:noHBand="0" w:noVBand="1"/>
      </w:tblPr>
      <w:tblGrid>
        <w:gridCol w:w="4410"/>
        <w:gridCol w:w="9990"/>
      </w:tblGrid>
      <w:tr w:rsidR="00FF6C75" w:rsidRPr="002300EB" w14:paraId="2025BF6A" w14:textId="77777777" w:rsidTr="00FF6C75">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7F4CA36" w14:textId="77777777" w:rsidR="00FF6C75" w:rsidRPr="002300EB" w:rsidRDefault="00FF6C75" w:rsidP="00FF6C75">
            <w:pPr>
              <w:rPr>
                <w:sz w:val="18"/>
                <w:szCs w:val="18"/>
              </w:rPr>
            </w:pPr>
            <w:r w:rsidRPr="002300EB">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34FE7044" w14:textId="77777777" w:rsidR="00FF6C75" w:rsidRPr="00FF6C75" w:rsidRDefault="00FF6C75" w:rsidP="00FF6C75">
            <w:pPr>
              <w:spacing w:after="120"/>
              <w:jc w:val="both"/>
              <w:rPr>
                <w:sz w:val="18"/>
                <w:szCs w:val="18"/>
              </w:rPr>
            </w:pPr>
            <w:r w:rsidRPr="00FF6C75">
              <w:rPr>
                <w:sz w:val="18"/>
                <w:szCs w:val="18"/>
              </w:rPr>
              <w:t>J.P. Morgan Securities plc (K6Q0W1PS1L1O4IQL9C32)</w:t>
            </w:r>
          </w:p>
        </w:tc>
      </w:tr>
      <w:tr w:rsidR="00FF6C75" w:rsidRPr="002300EB" w14:paraId="0B97D580" w14:textId="77777777" w:rsidTr="00FF6C75">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32D0FC3" w14:textId="77777777" w:rsidR="00FF6C75" w:rsidRPr="002300EB" w:rsidRDefault="00FF6C75" w:rsidP="00FF6C75">
            <w:pPr>
              <w:rPr>
                <w:sz w:val="18"/>
                <w:szCs w:val="18"/>
              </w:rPr>
            </w:pPr>
            <w:r w:rsidRPr="002300EB">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52C285E7" w14:textId="258C10D6" w:rsidR="00FF6C75" w:rsidRPr="002300EB" w:rsidRDefault="00FF6C75" w:rsidP="00FF6C75">
            <w:pPr>
              <w:spacing w:after="120"/>
              <w:jc w:val="both"/>
              <w:rPr>
                <w:color w:val="0000FF"/>
                <w:sz w:val="18"/>
                <w:szCs w:val="18"/>
              </w:rPr>
            </w:pPr>
            <w:r w:rsidRPr="002300EB">
              <w:rPr>
                <w:sz w:val="18"/>
                <w:szCs w:val="18"/>
              </w:rPr>
              <w:t xml:space="preserve">Commodities derivatives and emission allowances derivatives: </w:t>
            </w:r>
            <w:r w:rsidR="00B310BA">
              <w:rPr>
                <w:sz w:val="18"/>
                <w:szCs w:val="18"/>
              </w:rPr>
              <w:t>o</w:t>
            </w:r>
            <w:r w:rsidRPr="002300EB">
              <w:rPr>
                <w:sz w:val="18"/>
                <w:szCs w:val="18"/>
              </w:rPr>
              <w:t>ther commodities derivatives and emission allowances derivatives</w:t>
            </w:r>
          </w:p>
        </w:tc>
      </w:tr>
      <w:tr w:rsidR="00FF6C75" w:rsidRPr="002300EB" w14:paraId="4CB8B89B" w14:textId="77777777" w:rsidTr="00FF6C75">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5AE63629" w14:textId="77777777" w:rsidR="00FF6C75" w:rsidRPr="002300EB" w:rsidRDefault="00FF6C75" w:rsidP="00FF6C75">
            <w:pPr>
              <w:jc w:val="center"/>
              <w:rPr>
                <w:sz w:val="18"/>
                <w:szCs w:val="18"/>
              </w:rPr>
            </w:pPr>
            <w:r w:rsidRPr="002300EB">
              <w:rPr>
                <w:sz w:val="18"/>
                <w:szCs w:val="18"/>
              </w:rPr>
              <w:t>Summary of Analysis</w:t>
            </w:r>
          </w:p>
        </w:tc>
      </w:tr>
      <w:tr w:rsidR="00FF6C75" w:rsidRPr="002300EB" w14:paraId="391447D0" w14:textId="77777777" w:rsidTr="00FF6C75">
        <w:tc>
          <w:tcPr>
            <w:tcW w:w="14400" w:type="dxa"/>
            <w:gridSpan w:val="2"/>
            <w:tcBorders>
              <w:left w:val="single" w:sz="12" w:space="0" w:color="auto"/>
              <w:right w:val="single" w:sz="12" w:space="0" w:color="auto"/>
            </w:tcBorders>
          </w:tcPr>
          <w:p w14:paraId="658EF9DC" w14:textId="30815C23" w:rsidR="00FF6C75" w:rsidRPr="002300EB" w:rsidRDefault="000D1EDA" w:rsidP="00FF6C75">
            <w:pPr>
              <w:spacing w:after="120"/>
              <w:jc w:val="both"/>
              <w:rPr>
                <w:sz w:val="18"/>
                <w:szCs w:val="18"/>
              </w:rPr>
            </w:pPr>
            <w:r>
              <w:rPr>
                <w:sz w:val="18"/>
                <w:szCs w:val="18"/>
              </w:rPr>
              <w:t>For the year of 2020 i</w:t>
            </w:r>
            <w:r w:rsidR="00FF6C75" w:rsidRPr="002300EB">
              <w:rPr>
                <w:sz w:val="18"/>
                <w:szCs w:val="18"/>
              </w:rPr>
              <w:t>n respect of eCommerce Orders, J.P. Morgan Securities plc</w:t>
            </w:r>
            <w:r w:rsidR="00FF6C75" w:rsidRPr="002300EB" w:rsidDel="00440F47">
              <w:rPr>
                <w:sz w:val="18"/>
                <w:szCs w:val="18"/>
              </w:rPr>
              <w:t xml:space="preserve"> </w:t>
            </w:r>
            <w:r w:rsidR="00FF6C75" w:rsidRPr="002300EB">
              <w:rPr>
                <w:sz w:val="18"/>
                <w:szCs w:val="18"/>
              </w:rPr>
              <w:t>collated quoted bid/offer spreads over a rolling time frame and analysed these in comparison to completed leave transactions</w:t>
            </w:r>
            <w:r>
              <w:rPr>
                <w:sz w:val="18"/>
                <w:szCs w:val="18"/>
              </w:rPr>
              <w:t xml:space="preserve"> (on a post-trade basis)</w:t>
            </w:r>
            <w:r w:rsidR="00FF6C75" w:rsidRPr="002300EB">
              <w:rPr>
                <w:sz w:val="18"/>
                <w:szCs w:val="18"/>
              </w:rPr>
              <w:t xml:space="preserve"> to identify outliers. </w:t>
            </w:r>
            <w:r w:rsidR="00FF6C75" w:rsidRPr="003028EC">
              <w:rPr>
                <w:sz w:val="18"/>
                <w:szCs w:val="18"/>
              </w:rPr>
              <w:t>The results of th</w:t>
            </w:r>
            <w:r>
              <w:rPr>
                <w:sz w:val="18"/>
                <w:szCs w:val="18"/>
              </w:rPr>
              <w:t>is</w:t>
            </w:r>
            <w:r w:rsidR="00FF6C75" w:rsidRPr="003028EC">
              <w:rPr>
                <w:sz w:val="18"/>
                <w:szCs w:val="18"/>
              </w:rPr>
              <w:t xml:space="preserve"> Best Execution </w:t>
            </w:r>
            <w:r>
              <w:rPr>
                <w:sz w:val="18"/>
                <w:szCs w:val="18"/>
              </w:rPr>
              <w:t>analysis</w:t>
            </w:r>
            <w:r w:rsidR="00FF6C75" w:rsidRPr="003028EC">
              <w:rPr>
                <w:sz w:val="18"/>
                <w:szCs w:val="18"/>
              </w:rPr>
              <w:t xml:space="preserve"> were reviewed by J.P. Morgan management and control functions and were in line with J.P. Morgan Securities plc expectations</w:t>
            </w:r>
            <w:r w:rsidR="00FF6C75" w:rsidRPr="002300EB">
              <w:rPr>
                <w:sz w:val="18"/>
                <w:szCs w:val="18"/>
              </w:rPr>
              <w:t>. Clients direct their orders to J.P. Morgan Securities plc</w:t>
            </w:r>
            <w:r w:rsidR="00FF6C75" w:rsidRPr="002300EB" w:rsidDel="00440F47">
              <w:rPr>
                <w:sz w:val="18"/>
                <w:szCs w:val="18"/>
              </w:rPr>
              <w:t xml:space="preserve"> </w:t>
            </w:r>
            <w:r w:rsidR="00FF6C75" w:rsidRPr="002300EB">
              <w:rPr>
                <w:sz w:val="18"/>
                <w:szCs w:val="18"/>
              </w:rPr>
              <w:t xml:space="preserve">to execute as principal and we therefore treat all orders as directed as we are the sole execution venue. </w:t>
            </w:r>
          </w:p>
        </w:tc>
      </w:tr>
      <w:tr w:rsidR="00FF6C75" w:rsidRPr="002300EB" w14:paraId="6FC0583F" w14:textId="77777777" w:rsidTr="00FF6C75">
        <w:tc>
          <w:tcPr>
            <w:tcW w:w="4410" w:type="dxa"/>
            <w:tcBorders>
              <w:left w:val="single" w:sz="12" w:space="0" w:color="auto"/>
            </w:tcBorders>
            <w:shd w:val="clear" w:color="auto" w:fill="D9D9D9" w:themeFill="background1" w:themeFillShade="D9"/>
          </w:tcPr>
          <w:p w14:paraId="5A13B6B3" w14:textId="77777777" w:rsidR="00FF6C75" w:rsidRPr="002300EB" w:rsidRDefault="00FF6C75" w:rsidP="00FF6C75">
            <w:pPr>
              <w:rPr>
                <w:sz w:val="18"/>
                <w:szCs w:val="18"/>
              </w:rPr>
            </w:pPr>
            <w:r w:rsidRPr="002300EB">
              <w:rPr>
                <w:sz w:val="18"/>
                <w:szCs w:val="18"/>
              </w:rPr>
              <w:t>Relative importance given to execution factors &amp; other considerations</w:t>
            </w:r>
          </w:p>
        </w:tc>
        <w:tc>
          <w:tcPr>
            <w:tcW w:w="9990" w:type="dxa"/>
            <w:tcBorders>
              <w:right w:val="single" w:sz="12" w:space="0" w:color="auto"/>
            </w:tcBorders>
          </w:tcPr>
          <w:p w14:paraId="4154DD73" w14:textId="77777777" w:rsidR="00FF6C75" w:rsidRPr="002300EB" w:rsidRDefault="00FF6C75" w:rsidP="00FF6C75">
            <w:pPr>
              <w:spacing w:after="120"/>
              <w:jc w:val="both"/>
              <w:rPr>
                <w:i/>
                <w:sz w:val="18"/>
                <w:szCs w:val="18"/>
              </w:rPr>
            </w:pPr>
            <w:r w:rsidRPr="002300EB">
              <w:rPr>
                <w:sz w:val="18"/>
                <w:szCs w:val="18"/>
              </w:rPr>
              <w:t xml:space="preserve">As per Appendix 5 of the </w:t>
            </w:r>
            <w:hyperlink r:id="rId13" w:history="1">
              <w:r w:rsidRPr="002300EB">
                <w:rPr>
                  <w:rStyle w:val="Hyperlink"/>
                  <w:sz w:val="18"/>
                  <w:szCs w:val="18"/>
                </w:rPr>
                <w:t>J.P. Morgan Execution Policy</w:t>
              </w:r>
            </w:hyperlink>
            <w:r w:rsidRPr="002300EB">
              <w:rPr>
                <w:sz w:val="18"/>
                <w:szCs w:val="18"/>
              </w:rPr>
              <w:t xml:space="preserve"> price is the most important factor. After price, the likelihood of execution and the ability to fill a client’s order in its entirety – or at least a substantial part of it – are the most important factors. This latter factor increases in importance in situations where access to liquidity in the relevant instrument is constrained in some way – for example, if the commodity instrument is illiquid, or if the limit price provided is not marketable. </w:t>
            </w:r>
          </w:p>
        </w:tc>
      </w:tr>
      <w:tr w:rsidR="00FF6C75" w:rsidRPr="002300EB" w14:paraId="1AC0C353" w14:textId="77777777" w:rsidTr="00FF6C75">
        <w:tc>
          <w:tcPr>
            <w:tcW w:w="4410" w:type="dxa"/>
            <w:tcBorders>
              <w:left w:val="single" w:sz="12" w:space="0" w:color="auto"/>
            </w:tcBorders>
            <w:shd w:val="clear" w:color="auto" w:fill="D9D9D9" w:themeFill="background1" w:themeFillShade="D9"/>
          </w:tcPr>
          <w:p w14:paraId="41065010" w14:textId="77777777" w:rsidR="00FF6C75" w:rsidRPr="002300EB" w:rsidRDefault="00FF6C75" w:rsidP="00FF6C75">
            <w:pPr>
              <w:rPr>
                <w:sz w:val="18"/>
                <w:szCs w:val="18"/>
              </w:rPr>
            </w:pPr>
            <w:r w:rsidRPr="002300EB">
              <w:rPr>
                <w:sz w:val="18"/>
                <w:szCs w:val="18"/>
              </w:rPr>
              <w:t>Execution venue close links / conflicts of interest / common ownerships</w:t>
            </w:r>
          </w:p>
        </w:tc>
        <w:tc>
          <w:tcPr>
            <w:tcW w:w="9990" w:type="dxa"/>
            <w:tcBorders>
              <w:right w:val="single" w:sz="12" w:space="0" w:color="auto"/>
            </w:tcBorders>
          </w:tcPr>
          <w:p w14:paraId="2A3A544C" w14:textId="77777777" w:rsidR="00FF6C75" w:rsidRPr="002300EB" w:rsidRDefault="00FF6C75" w:rsidP="00FF6C75">
            <w:pPr>
              <w:rPr>
                <w:sz w:val="18"/>
                <w:szCs w:val="18"/>
              </w:rPr>
            </w:pPr>
            <w:r w:rsidRPr="002300EB">
              <w:rPr>
                <w:sz w:val="18"/>
                <w:szCs w:val="18"/>
              </w:rPr>
              <w:t xml:space="preserve">J.P. Morgan Securities plc is a fully owned subsidiary of </w:t>
            </w:r>
            <w:r w:rsidRPr="002300EB">
              <w:rPr>
                <w:color w:val="000000" w:themeColor="text1"/>
                <w:sz w:val="18"/>
                <w:szCs w:val="18"/>
              </w:rPr>
              <w:t>JPMorgan Chase &amp; Co.</w:t>
            </w:r>
          </w:p>
        </w:tc>
      </w:tr>
      <w:tr w:rsidR="00FF6C75" w:rsidRPr="002300EB" w14:paraId="1B4FB011" w14:textId="77777777" w:rsidTr="00FF6C75">
        <w:tc>
          <w:tcPr>
            <w:tcW w:w="4410" w:type="dxa"/>
            <w:tcBorders>
              <w:left w:val="single" w:sz="12" w:space="0" w:color="auto"/>
            </w:tcBorders>
            <w:shd w:val="clear" w:color="auto" w:fill="D9D9D9" w:themeFill="background1" w:themeFillShade="D9"/>
          </w:tcPr>
          <w:p w14:paraId="70120737" w14:textId="77777777" w:rsidR="00FF6C75" w:rsidRPr="002300EB" w:rsidRDefault="00FF6C75" w:rsidP="00FF6C75">
            <w:pPr>
              <w:rPr>
                <w:sz w:val="18"/>
                <w:szCs w:val="18"/>
              </w:rPr>
            </w:pPr>
            <w:r w:rsidRPr="002300EB">
              <w:rPr>
                <w:sz w:val="18"/>
                <w:szCs w:val="18"/>
              </w:rPr>
              <w:t>Specific execution venue arrangements</w:t>
            </w:r>
          </w:p>
        </w:tc>
        <w:tc>
          <w:tcPr>
            <w:tcW w:w="9990" w:type="dxa"/>
            <w:tcBorders>
              <w:right w:val="single" w:sz="12" w:space="0" w:color="auto"/>
            </w:tcBorders>
          </w:tcPr>
          <w:p w14:paraId="7EABAE6E" w14:textId="77777777" w:rsidR="00FF6C75" w:rsidRPr="002300EB" w:rsidRDefault="00FF6C75" w:rsidP="00FF6C75">
            <w:pPr>
              <w:rPr>
                <w:sz w:val="18"/>
                <w:szCs w:val="18"/>
              </w:rPr>
            </w:pPr>
            <w:r w:rsidRPr="002300EB">
              <w:rPr>
                <w:sz w:val="18"/>
                <w:szCs w:val="18"/>
              </w:rPr>
              <w:t xml:space="preserve">J.P. Morgan Securities plc is the sole execution venue. </w:t>
            </w:r>
          </w:p>
        </w:tc>
      </w:tr>
      <w:tr w:rsidR="00FF6C75" w:rsidRPr="002300EB" w14:paraId="04782AA3" w14:textId="77777777" w:rsidTr="00FF6C75">
        <w:trPr>
          <w:trHeight w:val="368"/>
        </w:trPr>
        <w:tc>
          <w:tcPr>
            <w:tcW w:w="4410" w:type="dxa"/>
            <w:tcBorders>
              <w:left w:val="single" w:sz="12" w:space="0" w:color="auto"/>
            </w:tcBorders>
            <w:shd w:val="clear" w:color="auto" w:fill="D9D9D9" w:themeFill="background1" w:themeFillShade="D9"/>
          </w:tcPr>
          <w:p w14:paraId="5B224AA0" w14:textId="77777777" w:rsidR="00FF6C75" w:rsidRPr="002300EB" w:rsidRDefault="00FF6C75" w:rsidP="00FF6C75">
            <w:pPr>
              <w:rPr>
                <w:sz w:val="18"/>
                <w:szCs w:val="18"/>
              </w:rPr>
            </w:pPr>
            <w:r w:rsidRPr="002300EB">
              <w:rPr>
                <w:sz w:val="18"/>
                <w:szCs w:val="18"/>
              </w:rPr>
              <w:t>Changes to execution venues</w:t>
            </w:r>
          </w:p>
        </w:tc>
        <w:tc>
          <w:tcPr>
            <w:tcW w:w="9990" w:type="dxa"/>
            <w:tcBorders>
              <w:right w:val="single" w:sz="12" w:space="0" w:color="auto"/>
            </w:tcBorders>
          </w:tcPr>
          <w:p w14:paraId="4D95BCC8" w14:textId="77777777" w:rsidR="00FF6C75" w:rsidRPr="002300EB" w:rsidRDefault="00FF6C75" w:rsidP="00FF6C75">
            <w:pPr>
              <w:spacing w:after="120"/>
              <w:rPr>
                <w:sz w:val="18"/>
                <w:szCs w:val="18"/>
              </w:rPr>
            </w:pPr>
            <w:r w:rsidRPr="002300EB">
              <w:rPr>
                <w:sz w:val="18"/>
                <w:szCs w:val="18"/>
              </w:rPr>
              <w:t>Not Applicable</w:t>
            </w:r>
          </w:p>
        </w:tc>
      </w:tr>
      <w:tr w:rsidR="00FF6C75" w:rsidRPr="002300EB" w14:paraId="7150CCED" w14:textId="77777777" w:rsidTr="00FF6C75">
        <w:tc>
          <w:tcPr>
            <w:tcW w:w="4410" w:type="dxa"/>
            <w:tcBorders>
              <w:left w:val="single" w:sz="12" w:space="0" w:color="auto"/>
            </w:tcBorders>
            <w:shd w:val="clear" w:color="auto" w:fill="D9D9D9" w:themeFill="background1" w:themeFillShade="D9"/>
          </w:tcPr>
          <w:p w14:paraId="11086ADC" w14:textId="77777777" w:rsidR="00FF6C75" w:rsidRPr="002300EB" w:rsidRDefault="00FF6C75" w:rsidP="00FF6C75">
            <w:pPr>
              <w:rPr>
                <w:sz w:val="18"/>
                <w:szCs w:val="18"/>
              </w:rPr>
            </w:pPr>
            <w:r w:rsidRPr="002300EB">
              <w:rPr>
                <w:sz w:val="18"/>
                <w:szCs w:val="18"/>
              </w:rPr>
              <w:t>Client distinctions</w:t>
            </w:r>
          </w:p>
        </w:tc>
        <w:tc>
          <w:tcPr>
            <w:tcW w:w="9990" w:type="dxa"/>
            <w:tcBorders>
              <w:right w:val="single" w:sz="12" w:space="0" w:color="auto"/>
            </w:tcBorders>
          </w:tcPr>
          <w:p w14:paraId="0AF843E1" w14:textId="77777777" w:rsidR="00FF6C75" w:rsidRPr="002300EB" w:rsidRDefault="00FF6C75" w:rsidP="00FF6C75">
            <w:pPr>
              <w:spacing w:after="120"/>
              <w:rPr>
                <w:sz w:val="18"/>
                <w:szCs w:val="18"/>
              </w:rPr>
            </w:pPr>
            <w:r w:rsidRPr="002300EB">
              <w:rPr>
                <w:sz w:val="18"/>
                <w:szCs w:val="18"/>
              </w:rPr>
              <w:t xml:space="preserve">J.P. Morgan Securities plc only deals with Professional clients for the purposes of Best Execution.  </w:t>
            </w:r>
          </w:p>
        </w:tc>
      </w:tr>
      <w:tr w:rsidR="00FF6C75" w:rsidRPr="002300EB" w14:paraId="2374AB8B" w14:textId="77777777" w:rsidTr="00FF6C75">
        <w:trPr>
          <w:trHeight w:val="70"/>
        </w:trPr>
        <w:tc>
          <w:tcPr>
            <w:tcW w:w="4410" w:type="dxa"/>
            <w:tcBorders>
              <w:left w:val="single" w:sz="12" w:space="0" w:color="auto"/>
            </w:tcBorders>
            <w:shd w:val="clear" w:color="auto" w:fill="D9D9D9" w:themeFill="background1" w:themeFillShade="D9"/>
          </w:tcPr>
          <w:p w14:paraId="43D29729" w14:textId="77777777" w:rsidR="00FF6C75" w:rsidRPr="002300EB" w:rsidRDefault="00FF6C75" w:rsidP="00FF6C75">
            <w:pPr>
              <w:rPr>
                <w:sz w:val="18"/>
                <w:szCs w:val="18"/>
              </w:rPr>
            </w:pPr>
            <w:r w:rsidRPr="002300EB">
              <w:rPr>
                <w:sz w:val="18"/>
                <w:szCs w:val="18"/>
              </w:rPr>
              <w:t>Use of data/tools relating to the quality of execution</w:t>
            </w:r>
          </w:p>
        </w:tc>
        <w:tc>
          <w:tcPr>
            <w:tcW w:w="9990" w:type="dxa"/>
            <w:tcBorders>
              <w:right w:val="single" w:sz="12" w:space="0" w:color="auto"/>
            </w:tcBorders>
          </w:tcPr>
          <w:p w14:paraId="00FDCB80" w14:textId="77777777" w:rsidR="00FF6C75" w:rsidRPr="002300EB" w:rsidRDefault="00FF6C75" w:rsidP="00FF6C75">
            <w:pPr>
              <w:spacing w:after="120"/>
              <w:rPr>
                <w:sz w:val="18"/>
                <w:szCs w:val="18"/>
              </w:rPr>
            </w:pPr>
            <w:r w:rsidRPr="002300EB">
              <w:rPr>
                <w:sz w:val="18"/>
                <w:szCs w:val="18"/>
              </w:rPr>
              <w:t xml:space="preserve">As per Appendix 5 of the </w:t>
            </w:r>
            <w:hyperlink r:id="rId14" w:history="1">
              <w:r w:rsidRPr="002300EB">
                <w:rPr>
                  <w:rStyle w:val="Hyperlink"/>
                  <w:sz w:val="18"/>
                  <w:szCs w:val="18"/>
                </w:rPr>
                <w:t>J.P. Morgan Execution Policy,</w:t>
              </w:r>
            </w:hyperlink>
            <w:r w:rsidRPr="002300EB">
              <w:rPr>
                <w:sz w:val="18"/>
                <w:szCs w:val="18"/>
              </w:rPr>
              <w:t xml:space="preserve"> a range of market data sources are utilised by J.P. Morgan’s e-Commerce business in the formation of principal risk prices. Both readily available market data and J.P. Morgan internal transaction data are used to assess the quality of execution for in-scope orders. Thresholds comparing execution pricing with such data are set by J.P. Morgan to monitor execution quality. The results of Best Execution monitoring are reviewed by control-related functions within J.P. Morgan on an ongoing basis and are discussed by J.P. Morgan management and control functions within a committee that has been established for the purpose of governing Best Execution.</w:t>
            </w:r>
          </w:p>
        </w:tc>
      </w:tr>
      <w:tr w:rsidR="00FF6C75" w:rsidRPr="002300EB" w14:paraId="5E07192F" w14:textId="77777777" w:rsidTr="00FF6C75">
        <w:tc>
          <w:tcPr>
            <w:tcW w:w="4410" w:type="dxa"/>
            <w:tcBorders>
              <w:left w:val="single" w:sz="12" w:space="0" w:color="auto"/>
              <w:bottom w:val="single" w:sz="12" w:space="0" w:color="auto"/>
            </w:tcBorders>
            <w:shd w:val="clear" w:color="auto" w:fill="D9D9D9" w:themeFill="background1" w:themeFillShade="D9"/>
          </w:tcPr>
          <w:p w14:paraId="4DE5B642" w14:textId="77777777" w:rsidR="00FF6C75" w:rsidRPr="002300EB" w:rsidRDefault="00FF6C75" w:rsidP="00FF6C75">
            <w:pPr>
              <w:rPr>
                <w:sz w:val="18"/>
                <w:szCs w:val="18"/>
              </w:rPr>
            </w:pPr>
            <w:r w:rsidRPr="002300EB">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008DE141" w14:textId="77777777" w:rsidR="00FF6C75" w:rsidRPr="002300EB" w:rsidRDefault="00FF6C75" w:rsidP="00FF6C75">
            <w:pPr>
              <w:spacing w:after="120"/>
              <w:rPr>
                <w:sz w:val="18"/>
                <w:szCs w:val="18"/>
              </w:rPr>
            </w:pPr>
            <w:r w:rsidRPr="002300EB">
              <w:rPr>
                <w:sz w:val="18"/>
                <w:szCs w:val="18"/>
              </w:rPr>
              <w:t>Not Applicable</w:t>
            </w:r>
          </w:p>
        </w:tc>
      </w:tr>
    </w:tbl>
    <w:p w14:paraId="46578E98" w14:textId="5C9AC35D" w:rsidR="00FF6C75" w:rsidRDefault="00FF6C75" w:rsidP="000B7F7D">
      <w:pPr>
        <w:rPr>
          <w:color w:val="FF0000"/>
          <w:sz w:val="18"/>
          <w:szCs w:val="18"/>
        </w:rPr>
      </w:pPr>
    </w:p>
    <w:p w14:paraId="3845B4EE" w14:textId="653AE8BF" w:rsidR="00FF6C75" w:rsidRDefault="00FF6C75" w:rsidP="000B7F7D">
      <w:pPr>
        <w:rPr>
          <w:color w:val="FF0000"/>
          <w:sz w:val="18"/>
          <w:szCs w:val="18"/>
        </w:rPr>
      </w:pPr>
    </w:p>
    <w:p w14:paraId="1FFFE2DF" w14:textId="36AF45AD" w:rsidR="00FF6C75" w:rsidRDefault="00FF6C75" w:rsidP="000B7F7D">
      <w:pPr>
        <w:rPr>
          <w:color w:val="FF0000"/>
          <w:sz w:val="18"/>
          <w:szCs w:val="18"/>
        </w:rPr>
      </w:pPr>
    </w:p>
    <w:p w14:paraId="7D10CE51" w14:textId="08C7FCC7" w:rsidR="00FF6C75" w:rsidRDefault="00FF6C75" w:rsidP="000B7F7D">
      <w:pPr>
        <w:rPr>
          <w:color w:val="FF0000"/>
          <w:sz w:val="18"/>
          <w:szCs w:val="18"/>
        </w:rPr>
      </w:pPr>
    </w:p>
    <w:p w14:paraId="7B3921CD" w14:textId="59D2A890" w:rsidR="00FF6C75" w:rsidRDefault="00FF6C75" w:rsidP="000B7F7D">
      <w:pPr>
        <w:rPr>
          <w:color w:val="FF0000"/>
          <w:sz w:val="18"/>
          <w:szCs w:val="18"/>
        </w:rPr>
      </w:pPr>
    </w:p>
    <w:p w14:paraId="01997628" w14:textId="775687D6" w:rsidR="00FF6C75" w:rsidRDefault="00FF6C75" w:rsidP="000B7F7D">
      <w:pPr>
        <w:rPr>
          <w:color w:val="FF0000"/>
          <w:sz w:val="18"/>
          <w:szCs w:val="18"/>
        </w:rPr>
      </w:pPr>
    </w:p>
    <w:p w14:paraId="4DA61C7F" w14:textId="78A00DF9" w:rsidR="00FF6C75" w:rsidRDefault="00FF6C75" w:rsidP="000B7F7D">
      <w:pPr>
        <w:rPr>
          <w:color w:val="FF0000"/>
          <w:sz w:val="18"/>
          <w:szCs w:val="18"/>
        </w:rPr>
      </w:pPr>
    </w:p>
    <w:p w14:paraId="2F45017E" w14:textId="05571851" w:rsidR="00FF6C75" w:rsidRDefault="00FF6C75" w:rsidP="000B7F7D">
      <w:pPr>
        <w:rPr>
          <w:color w:val="FF0000"/>
          <w:sz w:val="18"/>
          <w:szCs w:val="18"/>
        </w:rPr>
      </w:pPr>
    </w:p>
    <w:tbl>
      <w:tblPr>
        <w:tblStyle w:val="TableGrid"/>
        <w:tblW w:w="14400" w:type="dxa"/>
        <w:tblInd w:w="468" w:type="dxa"/>
        <w:tblLook w:val="04A0" w:firstRow="1" w:lastRow="0" w:firstColumn="1" w:lastColumn="0" w:noHBand="0" w:noVBand="1"/>
      </w:tblPr>
      <w:tblGrid>
        <w:gridCol w:w="4410"/>
        <w:gridCol w:w="9990"/>
      </w:tblGrid>
      <w:tr w:rsidR="00FF6C75" w:rsidRPr="002300EB" w14:paraId="5B99F244" w14:textId="77777777" w:rsidTr="000E3A78">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45F9D9BC" w14:textId="77777777" w:rsidR="00FF6C75" w:rsidRPr="002300EB" w:rsidRDefault="00FF6C75" w:rsidP="000E3A78">
            <w:pPr>
              <w:rPr>
                <w:sz w:val="18"/>
                <w:szCs w:val="18"/>
              </w:rPr>
            </w:pPr>
            <w:r w:rsidRPr="002300EB">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1D22D033" w14:textId="77777777" w:rsidR="00FF6C75" w:rsidRPr="002300EB" w:rsidRDefault="00FF6C75" w:rsidP="000E3A78">
            <w:pPr>
              <w:spacing w:after="120"/>
              <w:jc w:val="both"/>
              <w:rPr>
                <w:sz w:val="18"/>
                <w:szCs w:val="18"/>
              </w:rPr>
            </w:pPr>
            <w:r w:rsidRPr="002300EB">
              <w:rPr>
                <w:sz w:val="18"/>
                <w:szCs w:val="18"/>
              </w:rPr>
              <w:t>J.P. Morgan Securities plc (K6Q0W1PS1L1O4IQL9C32)</w:t>
            </w:r>
          </w:p>
        </w:tc>
      </w:tr>
      <w:tr w:rsidR="00FF6C75" w:rsidRPr="002300EB" w14:paraId="66197766" w14:textId="77777777" w:rsidTr="000E3A78">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3BF00E51" w14:textId="77777777" w:rsidR="00FF6C75" w:rsidRPr="002300EB" w:rsidRDefault="00FF6C75" w:rsidP="000E3A78">
            <w:pPr>
              <w:rPr>
                <w:sz w:val="18"/>
                <w:szCs w:val="18"/>
              </w:rPr>
            </w:pPr>
            <w:r w:rsidRPr="002300EB">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03621DAF" w14:textId="5A302040" w:rsidR="00FF6C75" w:rsidRPr="002300EB" w:rsidRDefault="00FF6C75" w:rsidP="000E3A78">
            <w:pPr>
              <w:spacing w:after="120"/>
              <w:jc w:val="both"/>
              <w:rPr>
                <w:color w:val="0000FF"/>
                <w:sz w:val="18"/>
                <w:szCs w:val="18"/>
              </w:rPr>
            </w:pPr>
            <w:r w:rsidRPr="002300EB">
              <w:rPr>
                <w:sz w:val="18"/>
                <w:szCs w:val="18"/>
              </w:rPr>
              <w:t xml:space="preserve">Currency </w:t>
            </w:r>
            <w:r w:rsidR="00A75957">
              <w:rPr>
                <w:sz w:val="18"/>
                <w:szCs w:val="18"/>
              </w:rPr>
              <w:t>d</w:t>
            </w:r>
            <w:r w:rsidRPr="002300EB">
              <w:rPr>
                <w:sz w:val="18"/>
                <w:szCs w:val="18"/>
              </w:rPr>
              <w:t>erivatives: Swaps, forwards, and other currency derivatives</w:t>
            </w:r>
          </w:p>
        </w:tc>
      </w:tr>
      <w:tr w:rsidR="00FF6C75" w:rsidRPr="002300EB" w14:paraId="61A0481C" w14:textId="77777777" w:rsidTr="000E3A78">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7A066010" w14:textId="77777777" w:rsidR="00FF6C75" w:rsidRPr="002300EB" w:rsidRDefault="00FF6C75" w:rsidP="000E3A78">
            <w:pPr>
              <w:jc w:val="center"/>
              <w:rPr>
                <w:sz w:val="18"/>
                <w:szCs w:val="18"/>
              </w:rPr>
            </w:pPr>
            <w:r w:rsidRPr="002300EB">
              <w:rPr>
                <w:sz w:val="18"/>
                <w:szCs w:val="18"/>
              </w:rPr>
              <w:t>Summary of Analysis</w:t>
            </w:r>
          </w:p>
        </w:tc>
      </w:tr>
      <w:tr w:rsidR="00FF6C75" w:rsidRPr="002300EB" w14:paraId="310EEED3" w14:textId="77777777" w:rsidTr="000E3A78">
        <w:trPr>
          <w:trHeight w:val="827"/>
        </w:trPr>
        <w:tc>
          <w:tcPr>
            <w:tcW w:w="14400" w:type="dxa"/>
            <w:gridSpan w:val="2"/>
            <w:tcBorders>
              <w:left w:val="single" w:sz="12" w:space="0" w:color="auto"/>
              <w:right w:val="single" w:sz="12" w:space="0" w:color="auto"/>
            </w:tcBorders>
          </w:tcPr>
          <w:p w14:paraId="5CFB5594" w14:textId="57EDADD9" w:rsidR="00FF6C75" w:rsidRPr="002300EB" w:rsidRDefault="00FF6C75" w:rsidP="000E3A78">
            <w:pPr>
              <w:spacing w:after="120"/>
              <w:jc w:val="both"/>
              <w:rPr>
                <w:sz w:val="18"/>
                <w:szCs w:val="18"/>
              </w:rPr>
            </w:pPr>
            <w:r>
              <w:rPr>
                <w:sz w:val="18"/>
                <w:szCs w:val="18"/>
              </w:rPr>
              <w:t>For the year of 2020 i</w:t>
            </w:r>
            <w:r w:rsidRPr="002300EB">
              <w:rPr>
                <w:sz w:val="18"/>
                <w:szCs w:val="18"/>
              </w:rPr>
              <w:t>n respect of eCommerce Orders, J.P. Morgan Securities plc collated quoted bid/offer spreads over a rolling time frame, and analysed these in comparison to completed leave transactions</w:t>
            </w:r>
            <w:r>
              <w:rPr>
                <w:sz w:val="18"/>
                <w:szCs w:val="18"/>
              </w:rPr>
              <w:t xml:space="preserve"> (on a post-trade basis)</w:t>
            </w:r>
            <w:r w:rsidRPr="002300EB">
              <w:rPr>
                <w:sz w:val="18"/>
                <w:szCs w:val="18"/>
              </w:rPr>
              <w:t xml:space="preserve"> to identify outliers. </w:t>
            </w:r>
            <w:r w:rsidRPr="002300EB">
              <w:rPr>
                <w:bCs/>
                <w:color w:val="000000" w:themeColor="text1"/>
                <w:sz w:val="18"/>
                <w:szCs w:val="18"/>
              </w:rPr>
              <w:t>The results of th</w:t>
            </w:r>
            <w:r w:rsidR="000D1EDA">
              <w:rPr>
                <w:bCs/>
                <w:color w:val="000000" w:themeColor="text1"/>
                <w:sz w:val="18"/>
                <w:szCs w:val="18"/>
              </w:rPr>
              <w:t>is</w:t>
            </w:r>
            <w:r>
              <w:rPr>
                <w:bCs/>
                <w:color w:val="000000" w:themeColor="text1"/>
                <w:sz w:val="18"/>
                <w:szCs w:val="18"/>
              </w:rPr>
              <w:t xml:space="preserve"> Best Execution</w:t>
            </w:r>
            <w:r w:rsidRPr="002300EB">
              <w:rPr>
                <w:bCs/>
                <w:color w:val="000000" w:themeColor="text1"/>
                <w:sz w:val="18"/>
                <w:szCs w:val="18"/>
              </w:rPr>
              <w:t xml:space="preserve"> </w:t>
            </w:r>
            <w:r w:rsidR="000D1EDA">
              <w:rPr>
                <w:bCs/>
                <w:color w:val="000000" w:themeColor="text1"/>
                <w:sz w:val="18"/>
                <w:szCs w:val="18"/>
              </w:rPr>
              <w:t>analysis</w:t>
            </w:r>
            <w:r w:rsidRPr="002300EB">
              <w:rPr>
                <w:bCs/>
                <w:color w:val="000000" w:themeColor="text1"/>
                <w:sz w:val="18"/>
                <w:szCs w:val="18"/>
              </w:rPr>
              <w:t xml:space="preserve"> were reviewed by </w:t>
            </w:r>
            <w:r w:rsidRPr="002300EB">
              <w:rPr>
                <w:color w:val="000000" w:themeColor="text1"/>
                <w:sz w:val="18"/>
                <w:szCs w:val="18"/>
              </w:rPr>
              <w:t xml:space="preserve">J.P. Morgan </w:t>
            </w:r>
            <w:r w:rsidRPr="002300EB">
              <w:rPr>
                <w:bCs/>
                <w:color w:val="000000" w:themeColor="text1"/>
                <w:sz w:val="18"/>
                <w:szCs w:val="18"/>
              </w:rPr>
              <w:t>m</w:t>
            </w:r>
            <w:r>
              <w:rPr>
                <w:bCs/>
                <w:color w:val="000000" w:themeColor="text1"/>
                <w:sz w:val="18"/>
                <w:szCs w:val="18"/>
              </w:rPr>
              <w:t>anagement and control functions and</w:t>
            </w:r>
            <w:r w:rsidRPr="002300EB">
              <w:rPr>
                <w:bCs/>
                <w:color w:val="000000" w:themeColor="text1"/>
                <w:sz w:val="18"/>
                <w:szCs w:val="18"/>
              </w:rPr>
              <w:t xml:space="preserve"> were in line with </w:t>
            </w:r>
            <w:r w:rsidRPr="002300EB">
              <w:rPr>
                <w:color w:val="000000" w:themeColor="text1"/>
                <w:sz w:val="18"/>
                <w:szCs w:val="18"/>
              </w:rPr>
              <w:t xml:space="preserve">J.P. Morgan Securities plc </w:t>
            </w:r>
            <w:r w:rsidRPr="002300EB">
              <w:rPr>
                <w:bCs/>
                <w:color w:val="000000" w:themeColor="text1"/>
                <w:sz w:val="18"/>
                <w:szCs w:val="18"/>
              </w:rPr>
              <w:t>expectations</w:t>
            </w:r>
            <w:r w:rsidRPr="002300EB">
              <w:rPr>
                <w:b/>
                <w:bCs/>
                <w:color w:val="000000" w:themeColor="text1"/>
                <w:sz w:val="18"/>
                <w:szCs w:val="18"/>
              </w:rPr>
              <w:t>.</w:t>
            </w:r>
            <w:r w:rsidRPr="002300EB">
              <w:rPr>
                <w:sz w:val="18"/>
                <w:szCs w:val="18"/>
              </w:rPr>
              <w:t xml:space="preserve"> Clients direct their orders to J.P. Morgan Securities plc to execute as principal and w</w:t>
            </w:r>
            <w:bookmarkStart w:id="0" w:name="_GoBack"/>
            <w:bookmarkEnd w:id="0"/>
            <w:r w:rsidRPr="002300EB">
              <w:rPr>
                <w:sz w:val="18"/>
                <w:szCs w:val="18"/>
              </w:rPr>
              <w:t>e therefore treat all orders as directed as we are the sole execution venue.</w:t>
            </w:r>
          </w:p>
        </w:tc>
      </w:tr>
      <w:tr w:rsidR="00FF6C75" w:rsidRPr="002300EB" w14:paraId="7EAFDF74" w14:textId="77777777" w:rsidTr="000E3A78">
        <w:tc>
          <w:tcPr>
            <w:tcW w:w="4410" w:type="dxa"/>
            <w:tcBorders>
              <w:left w:val="single" w:sz="12" w:space="0" w:color="auto"/>
            </w:tcBorders>
            <w:shd w:val="clear" w:color="auto" w:fill="D9D9D9" w:themeFill="background1" w:themeFillShade="D9"/>
          </w:tcPr>
          <w:p w14:paraId="24ECE940" w14:textId="77777777" w:rsidR="00FF6C75" w:rsidRPr="002300EB" w:rsidRDefault="00FF6C75" w:rsidP="000E3A78">
            <w:pPr>
              <w:rPr>
                <w:sz w:val="18"/>
                <w:szCs w:val="18"/>
              </w:rPr>
            </w:pPr>
            <w:r w:rsidRPr="002300EB">
              <w:rPr>
                <w:sz w:val="18"/>
                <w:szCs w:val="18"/>
              </w:rPr>
              <w:t>Relative importance given to execution factors &amp; other considerations</w:t>
            </w:r>
          </w:p>
        </w:tc>
        <w:tc>
          <w:tcPr>
            <w:tcW w:w="9990" w:type="dxa"/>
            <w:tcBorders>
              <w:right w:val="single" w:sz="12" w:space="0" w:color="auto"/>
            </w:tcBorders>
          </w:tcPr>
          <w:p w14:paraId="2FBCF280" w14:textId="48BD6AEC" w:rsidR="00FF6C75" w:rsidRPr="002300EB" w:rsidRDefault="00FF6C75" w:rsidP="000E3A78">
            <w:pPr>
              <w:spacing w:after="120"/>
              <w:jc w:val="both"/>
              <w:rPr>
                <w:i/>
                <w:sz w:val="18"/>
                <w:szCs w:val="18"/>
              </w:rPr>
            </w:pPr>
            <w:r w:rsidRPr="002300EB">
              <w:rPr>
                <w:sz w:val="18"/>
                <w:szCs w:val="18"/>
              </w:rPr>
              <w:t>As per Appendix 5 of the</w:t>
            </w:r>
            <w:hyperlink r:id="rId15" w:history="1">
              <w:r w:rsidRPr="00AF11BB">
                <w:rPr>
                  <w:rStyle w:val="Hyperlink"/>
                  <w:sz w:val="18"/>
                  <w:szCs w:val="18"/>
                </w:rPr>
                <w:t xml:space="preserve"> J.P. Morgan Execution Policy</w:t>
              </w:r>
            </w:hyperlink>
            <w:r w:rsidRPr="002300EB">
              <w:rPr>
                <w:sz w:val="18"/>
                <w:szCs w:val="18"/>
              </w:rPr>
              <w:t xml:space="preserve"> price is the most important factor. After price, the likelihood of execution and the ability to fill a client’s order in its entirety – or at least a substantial part of it – are the most important factors. This latter factor increases in importance in situations where access to liquidity in the relevant instrument is constrained in some way – for example, if the currencies of the transaction are illiquid, or if the limit price provided is not marketable.</w:t>
            </w:r>
          </w:p>
        </w:tc>
      </w:tr>
      <w:tr w:rsidR="00FF6C75" w:rsidRPr="002300EB" w14:paraId="578CBBF1" w14:textId="77777777" w:rsidTr="000E3A78">
        <w:tc>
          <w:tcPr>
            <w:tcW w:w="4410" w:type="dxa"/>
            <w:tcBorders>
              <w:left w:val="single" w:sz="12" w:space="0" w:color="auto"/>
            </w:tcBorders>
            <w:shd w:val="clear" w:color="auto" w:fill="D9D9D9" w:themeFill="background1" w:themeFillShade="D9"/>
          </w:tcPr>
          <w:p w14:paraId="3C1C65DE" w14:textId="77777777" w:rsidR="00FF6C75" w:rsidRPr="002300EB" w:rsidRDefault="00FF6C75" w:rsidP="000E3A78">
            <w:pPr>
              <w:rPr>
                <w:sz w:val="18"/>
                <w:szCs w:val="18"/>
              </w:rPr>
            </w:pPr>
            <w:r w:rsidRPr="002300EB">
              <w:rPr>
                <w:sz w:val="18"/>
                <w:szCs w:val="18"/>
              </w:rPr>
              <w:t>Execution venue close links / conflicts of interest / common ownerships</w:t>
            </w:r>
          </w:p>
        </w:tc>
        <w:tc>
          <w:tcPr>
            <w:tcW w:w="9990" w:type="dxa"/>
            <w:tcBorders>
              <w:right w:val="single" w:sz="12" w:space="0" w:color="auto"/>
            </w:tcBorders>
          </w:tcPr>
          <w:p w14:paraId="287CD1E3" w14:textId="77777777" w:rsidR="00FF6C75" w:rsidRPr="002300EB" w:rsidRDefault="00FF6C75" w:rsidP="000E3A78">
            <w:pPr>
              <w:rPr>
                <w:sz w:val="18"/>
                <w:szCs w:val="18"/>
              </w:rPr>
            </w:pPr>
            <w:r w:rsidRPr="002300EB">
              <w:rPr>
                <w:sz w:val="18"/>
                <w:szCs w:val="18"/>
              </w:rPr>
              <w:t>J.P. Morgan Securities plc is a fully owned subsidiary of JPMorgan Chase &amp; Co.</w:t>
            </w:r>
          </w:p>
        </w:tc>
      </w:tr>
      <w:tr w:rsidR="00FF6C75" w:rsidRPr="002300EB" w14:paraId="1FEFEA8F" w14:textId="77777777" w:rsidTr="000E3A78">
        <w:tc>
          <w:tcPr>
            <w:tcW w:w="4410" w:type="dxa"/>
            <w:tcBorders>
              <w:left w:val="single" w:sz="12" w:space="0" w:color="auto"/>
            </w:tcBorders>
            <w:shd w:val="clear" w:color="auto" w:fill="D9D9D9" w:themeFill="background1" w:themeFillShade="D9"/>
          </w:tcPr>
          <w:p w14:paraId="4D12FB85" w14:textId="77777777" w:rsidR="00FF6C75" w:rsidRPr="002300EB" w:rsidRDefault="00FF6C75" w:rsidP="000E3A78">
            <w:pPr>
              <w:rPr>
                <w:sz w:val="18"/>
                <w:szCs w:val="18"/>
              </w:rPr>
            </w:pPr>
            <w:r w:rsidRPr="002300EB">
              <w:rPr>
                <w:sz w:val="18"/>
                <w:szCs w:val="18"/>
              </w:rPr>
              <w:t>Specific execution venue arrangements</w:t>
            </w:r>
          </w:p>
        </w:tc>
        <w:tc>
          <w:tcPr>
            <w:tcW w:w="9990" w:type="dxa"/>
            <w:tcBorders>
              <w:right w:val="single" w:sz="12" w:space="0" w:color="auto"/>
            </w:tcBorders>
          </w:tcPr>
          <w:p w14:paraId="6C47F787" w14:textId="77777777" w:rsidR="00FF6C75" w:rsidRPr="002300EB" w:rsidRDefault="00FF6C75" w:rsidP="000E3A78">
            <w:pPr>
              <w:rPr>
                <w:sz w:val="18"/>
                <w:szCs w:val="18"/>
              </w:rPr>
            </w:pPr>
            <w:r w:rsidRPr="002300EB">
              <w:rPr>
                <w:sz w:val="18"/>
                <w:szCs w:val="18"/>
              </w:rPr>
              <w:t xml:space="preserve">J.P. Morgan Securities plc is the sole execution venue. </w:t>
            </w:r>
          </w:p>
        </w:tc>
      </w:tr>
      <w:tr w:rsidR="00FF6C75" w:rsidRPr="002300EB" w14:paraId="43F0CD17" w14:textId="77777777" w:rsidTr="000E3A78">
        <w:trPr>
          <w:trHeight w:val="368"/>
        </w:trPr>
        <w:tc>
          <w:tcPr>
            <w:tcW w:w="4410" w:type="dxa"/>
            <w:tcBorders>
              <w:left w:val="single" w:sz="12" w:space="0" w:color="auto"/>
            </w:tcBorders>
            <w:shd w:val="clear" w:color="auto" w:fill="D9D9D9" w:themeFill="background1" w:themeFillShade="D9"/>
          </w:tcPr>
          <w:p w14:paraId="520634CF" w14:textId="77777777" w:rsidR="00FF6C75" w:rsidRPr="002300EB" w:rsidRDefault="00FF6C75" w:rsidP="000E3A78">
            <w:pPr>
              <w:rPr>
                <w:sz w:val="18"/>
                <w:szCs w:val="18"/>
              </w:rPr>
            </w:pPr>
            <w:r w:rsidRPr="002300EB">
              <w:rPr>
                <w:sz w:val="18"/>
                <w:szCs w:val="18"/>
              </w:rPr>
              <w:t>Changes to execution venues</w:t>
            </w:r>
          </w:p>
        </w:tc>
        <w:tc>
          <w:tcPr>
            <w:tcW w:w="9990" w:type="dxa"/>
            <w:tcBorders>
              <w:right w:val="single" w:sz="12" w:space="0" w:color="auto"/>
            </w:tcBorders>
          </w:tcPr>
          <w:p w14:paraId="5324C044" w14:textId="77777777" w:rsidR="00FF6C75" w:rsidRPr="002300EB" w:rsidRDefault="00FF6C75" w:rsidP="000E3A78">
            <w:pPr>
              <w:spacing w:after="120"/>
              <w:rPr>
                <w:sz w:val="18"/>
                <w:szCs w:val="18"/>
              </w:rPr>
            </w:pPr>
            <w:r w:rsidRPr="002300EB">
              <w:rPr>
                <w:sz w:val="18"/>
                <w:szCs w:val="18"/>
              </w:rPr>
              <w:t>Not Applicable</w:t>
            </w:r>
          </w:p>
        </w:tc>
      </w:tr>
      <w:tr w:rsidR="00FF6C75" w:rsidRPr="002300EB" w14:paraId="2CD16F36" w14:textId="77777777" w:rsidTr="000E3A78">
        <w:tc>
          <w:tcPr>
            <w:tcW w:w="4410" w:type="dxa"/>
            <w:tcBorders>
              <w:left w:val="single" w:sz="12" w:space="0" w:color="auto"/>
            </w:tcBorders>
            <w:shd w:val="clear" w:color="auto" w:fill="D9D9D9" w:themeFill="background1" w:themeFillShade="D9"/>
          </w:tcPr>
          <w:p w14:paraId="07F8C3C6" w14:textId="77777777" w:rsidR="00FF6C75" w:rsidRPr="002300EB" w:rsidRDefault="00FF6C75" w:rsidP="000E3A78">
            <w:pPr>
              <w:rPr>
                <w:sz w:val="18"/>
                <w:szCs w:val="18"/>
              </w:rPr>
            </w:pPr>
            <w:r w:rsidRPr="002300EB">
              <w:rPr>
                <w:sz w:val="18"/>
                <w:szCs w:val="18"/>
              </w:rPr>
              <w:t>Client distinctions</w:t>
            </w:r>
          </w:p>
        </w:tc>
        <w:tc>
          <w:tcPr>
            <w:tcW w:w="9990" w:type="dxa"/>
            <w:tcBorders>
              <w:right w:val="single" w:sz="12" w:space="0" w:color="auto"/>
            </w:tcBorders>
          </w:tcPr>
          <w:p w14:paraId="6D7B434A" w14:textId="77777777" w:rsidR="00FF6C75" w:rsidRPr="002300EB" w:rsidRDefault="00FF6C75" w:rsidP="000E3A78">
            <w:pPr>
              <w:spacing w:after="120"/>
              <w:rPr>
                <w:sz w:val="18"/>
                <w:szCs w:val="18"/>
              </w:rPr>
            </w:pPr>
            <w:r w:rsidRPr="002300EB">
              <w:rPr>
                <w:sz w:val="18"/>
                <w:szCs w:val="18"/>
              </w:rPr>
              <w:t xml:space="preserve">J.P. Morgan Securities plc only deals with Professional clients for the purposes of Best Execution.  </w:t>
            </w:r>
          </w:p>
        </w:tc>
      </w:tr>
      <w:tr w:rsidR="00FF6C75" w:rsidRPr="002300EB" w14:paraId="266D1901" w14:textId="77777777" w:rsidTr="000E3A78">
        <w:trPr>
          <w:trHeight w:val="70"/>
        </w:trPr>
        <w:tc>
          <w:tcPr>
            <w:tcW w:w="4410" w:type="dxa"/>
            <w:tcBorders>
              <w:left w:val="single" w:sz="12" w:space="0" w:color="auto"/>
            </w:tcBorders>
            <w:shd w:val="clear" w:color="auto" w:fill="D9D9D9" w:themeFill="background1" w:themeFillShade="D9"/>
          </w:tcPr>
          <w:p w14:paraId="79A431DF" w14:textId="77777777" w:rsidR="00FF6C75" w:rsidRPr="002300EB" w:rsidRDefault="00FF6C75" w:rsidP="000E3A78">
            <w:pPr>
              <w:rPr>
                <w:sz w:val="18"/>
                <w:szCs w:val="18"/>
              </w:rPr>
            </w:pPr>
            <w:r w:rsidRPr="002300EB">
              <w:rPr>
                <w:sz w:val="18"/>
                <w:szCs w:val="18"/>
              </w:rPr>
              <w:t>Use of data/tools relating to the quality of execution</w:t>
            </w:r>
          </w:p>
        </w:tc>
        <w:tc>
          <w:tcPr>
            <w:tcW w:w="9990" w:type="dxa"/>
            <w:tcBorders>
              <w:right w:val="single" w:sz="12" w:space="0" w:color="auto"/>
            </w:tcBorders>
          </w:tcPr>
          <w:p w14:paraId="2B1A2E40" w14:textId="217FCAD0" w:rsidR="00FF6C75" w:rsidRPr="002300EB" w:rsidRDefault="00FF6C75" w:rsidP="000E3A78">
            <w:pPr>
              <w:spacing w:after="120"/>
              <w:rPr>
                <w:sz w:val="18"/>
                <w:szCs w:val="18"/>
              </w:rPr>
            </w:pPr>
            <w:r w:rsidRPr="002300EB">
              <w:rPr>
                <w:sz w:val="18"/>
                <w:szCs w:val="18"/>
              </w:rPr>
              <w:t xml:space="preserve">As per Appendix 5 of the </w:t>
            </w:r>
            <w:hyperlink r:id="rId16" w:history="1">
              <w:r w:rsidRPr="002300EB">
                <w:rPr>
                  <w:rStyle w:val="Hyperlink"/>
                  <w:sz w:val="18"/>
                  <w:szCs w:val="18"/>
                </w:rPr>
                <w:t>J.P. Morgan Execution Policy,</w:t>
              </w:r>
            </w:hyperlink>
            <w:r w:rsidRPr="002300EB">
              <w:rPr>
                <w:sz w:val="18"/>
                <w:szCs w:val="18"/>
              </w:rPr>
              <w:t xml:space="preserve"> a range of market data sources are utilised by J.P. Morgan’s eCommerce business in the formation of principal risk prices. Both readily available market data and J.P. Morgan internal transaction data are used to assess the quality of execution for in-scope orders. Thresholds comparing execution pricing with such data are set by J.P. Morgan to monitor execution quality. The results of Best Execution monitoring are reviewed by control-related functions within J.P. Morgan on an ongoing basis and are discussed by J.P. Morgan management and control functions within a committee that has been established for the purpose of governing Best Execution</w:t>
            </w:r>
            <w:r w:rsidR="00292576">
              <w:rPr>
                <w:sz w:val="18"/>
                <w:szCs w:val="18"/>
              </w:rPr>
              <w:t>.</w:t>
            </w:r>
          </w:p>
        </w:tc>
      </w:tr>
      <w:tr w:rsidR="00FF6C75" w:rsidRPr="002300EB" w14:paraId="3CC310EE" w14:textId="77777777" w:rsidTr="000E3A78">
        <w:tc>
          <w:tcPr>
            <w:tcW w:w="4410" w:type="dxa"/>
            <w:tcBorders>
              <w:left w:val="single" w:sz="12" w:space="0" w:color="auto"/>
              <w:bottom w:val="single" w:sz="12" w:space="0" w:color="auto"/>
            </w:tcBorders>
            <w:shd w:val="clear" w:color="auto" w:fill="D9D9D9" w:themeFill="background1" w:themeFillShade="D9"/>
          </w:tcPr>
          <w:p w14:paraId="42650757" w14:textId="77777777" w:rsidR="00FF6C75" w:rsidRPr="002300EB" w:rsidRDefault="00FF6C75" w:rsidP="000E3A78">
            <w:pPr>
              <w:rPr>
                <w:sz w:val="18"/>
                <w:szCs w:val="18"/>
              </w:rPr>
            </w:pPr>
            <w:r w:rsidRPr="002300EB">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38D7757D" w14:textId="77777777" w:rsidR="00FF6C75" w:rsidRPr="002300EB" w:rsidRDefault="00FF6C75" w:rsidP="000E3A78">
            <w:pPr>
              <w:spacing w:after="120"/>
              <w:rPr>
                <w:sz w:val="18"/>
                <w:szCs w:val="18"/>
              </w:rPr>
            </w:pPr>
            <w:r w:rsidRPr="002300EB">
              <w:rPr>
                <w:sz w:val="18"/>
                <w:szCs w:val="18"/>
              </w:rPr>
              <w:t>Not Applicable</w:t>
            </w:r>
          </w:p>
        </w:tc>
      </w:tr>
    </w:tbl>
    <w:p w14:paraId="794C9139" w14:textId="096C2196" w:rsidR="00FF6C75" w:rsidRDefault="00FF6C75" w:rsidP="000B7F7D">
      <w:pPr>
        <w:rPr>
          <w:color w:val="FF0000"/>
          <w:sz w:val="18"/>
          <w:szCs w:val="18"/>
        </w:rPr>
      </w:pPr>
    </w:p>
    <w:p w14:paraId="14511DEF" w14:textId="23E5555C" w:rsidR="00FF6C75" w:rsidRDefault="00FF6C75" w:rsidP="000B7F7D">
      <w:pPr>
        <w:rPr>
          <w:color w:val="FF0000"/>
          <w:sz w:val="18"/>
          <w:szCs w:val="18"/>
        </w:rPr>
      </w:pPr>
    </w:p>
    <w:p w14:paraId="3008611F" w14:textId="4C82ACAA" w:rsidR="00E815BA" w:rsidRDefault="00E815BA" w:rsidP="000B7F7D">
      <w:pPr>
        <w:rPr>
          <w:color w:val="FF0000"/>
          <w:sz w:val="18"/>
          <w:szCs w:val="18"/>
        </w:rPr>
      </w:pPr>
    </w:p>
    <w:p w14:paraId="4C26DDC2" w14:textId="0A1639D1" w:rsidR="00E815BA" w:rsidRDefault="00E815BA" w:rsidP="000B7F7D">
      <w:pPr>
        <w:rPr>
          <w:color w:val="FF0000"/>
          <w:sz w:val="18"/>
          <w:szCs w:val="18"/>
        </w:rPr>
      </w:pPr>
    </w:p>
    <w:p w14:paraId="11B4AE57" w14:textId="5B9107E9" w:rsidR="00E815BA" w:rsidRDefault="00E815BA" w:rsidP="000B7F7D">
      <w:pPr>
        <w:rPr>
          <w:color w:val="FF0000"/>
          <w:sz w:val="18"/>
          <w:szCs w:val="18"/>
        </w:rPr>
      </w:pPr>
    </w:p>
    <w:p w14:paraId="65E95A59" w14:textId="443BE6F7" w:rsidR="00E815BA" w:rsidRDefault="00E815BA" w:rsidP="000B7F7D">
      <w:pPr>
        <w:rPr>
          <w:color w:val="FF0000"/>
          <w:sz w:val="18"/>
          <w:szCs w:val="18"/>
        </w:rPr>
      </w:pPr>
    </w:p>
    <w:p w14:paraId="49187B61" w14:textId="2429FCBE" w:rsidR="00E815BA" w:rsidRDefault="00E815BA" w:rsidP="000B7F7D">
      <w:pPr>
        <w:rPr>
          <w:color w:val="FF0000"/>
          <w:sz w:val="18"/>
          <w:szCs w:val="18"/>
        </w:rPr>
      </w:pPr>
    </w:p>
    <w:p w14:paraId="79D1BD37" w14:textId="7E54F005" w:rsidR="00537B02" w:rsidRDefault="00537B02" w:rsidP="000B7F7D">
      <w:pPr>
        <w:rPr>
          <w:color w:val="FF0000"/>
          <w:sz w:val="18"/>
          <w:szCs w:val="18"/>
        </w:rPr>
      </w:pPr>
    </w:p>
    <w:tbl>
      <w:tblPr>
        <w:tblStyle w:val="TableGrid"/>
        <w:tblW w:w="14400" w:type="dxa"/>
        <w:tblInd w:w="468" w:type="dxa"/>
        <w:tblLook w:val="04A0" w:firstRow="1" w:lastRow="0" w:firstColumn="1" w:lastColumn="0" w:noHBand="0" w:noVBand="1"/>
      </w:tblPr>
      <w:tblGrid>
        <w:gridCol w:w="4410"/>
        <w:gridCol w:w="9990"/>
      </w:tblGrid>
      <w:tr w:rsidR="00537B02" w:rsidRPr="002300EB" w14:paraId="51BEF4B4" w14:textId="77777777" w:rsidTr="000E3A78">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0B472D1" w14:textId="77777777" w:rsidR="00537B02" w:rsidRPr="002300EB" w:rsidRDefault="00537B02" w:rsidP="000E3A78">
            <w:pPr>
              <w:rPr>
                <w:sz w:val="18"/>
                <w:szCs w:val="18"/>
              </w:rPr>
            </w:pPr>
            <w:r w:rsidRPr="002300EB">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55A5B934" w14:textId="77777777" w:rsidR="00537B02" w:rsidRPr="002300EB" w:rsidRDefault="00537B02" w:rsidP="000E3A78">
            <w:pPr>
              <w:spacing w:after="120"/>
              <w:jc w:val="both"/>
              <w:rPr>
                <w:sz w:val="18"/>
                <w:szCs w:val="18"/>
              </w:rPr>
            </w:pPr>
            <w:r w:rsidRPr="002300EB">
              <w:rPr>
                <w:sz w:val="18"/>
                <w:szCs w:val="18"/>
              </w:rPr>
              <w:t>J.P. Morgan Securities plc (K6Q0W1PS1L1O4IQL9C32)</w:t>
            </w:r>
          </w:p>
        </w:tc>
      </w:tr>
      <w:tr w:rsidR="00537B02" w:rsidRPr="002300EB" w14:paraId="65735D3F" w14:textId="77777777" w:rsidTr="000E3A78">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25BE7E0D" w14:textId="77777777" w:rsidR="00537B02" w:rsidRPr="002300EB" w:rsidRDefault="00537B02" w:rsidP="000E3A78">
            <w:pPr>
              <w:rPr>
                <w:sz w:val="18"/>
                <w:szCs w:val="18"/>
              </w:rPr>
            </w:pPr>
            <w:r w:rsidRPr="002300EB">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17F67857" w14:textId="755FBE28" w:rsidR="00537B02" w:rsidRPr="00DF10A5" w:rsidRDefault="00537B02" w:rsidP="000E3A78">
            <w:pPr>
              <w:spacing w:after="120"/>
              <w:jc w:val="both"/>
              <w:rPr>
                <w:sz w:val="18"/>
                <w:szCs w:val="18"/>
              </w:rPr>
            </w:pPr>
            <w:r w:rsidRPr="00DF10A5">
              <w:rPr>
                <w:sz w:val="18"/>
                <w:szCs w:val="18"/>
              </w:rPr>
              <w:t xml:space="preserve">Futures and </w:t>
            </w:r>
            <w:r w:rsidR="00A75957">
              <w:rPr>
                <w:sz w:val="18"/>
                <w:szCs w:val="18"/>
              </w:rPr>
              <w:t>o</w:t>
            </w:r>
            <w:r w:rsidRPr="00DF10A5">
              <w:rPr>
                <w:sz w:val="18"/>
                <w:szCs w:val="18"/>
              </w:rPr>
              <w:t xml:space="preserve">ptions </w:t>
            </w:r>
            <w:r w:rsidR="00A75957">
              <w:rPr>
                <w:sz w:val="18"/>
                <w:szCs w:val="18"/>
              </w:rPr>
              <w:t>a</w:t>
            </w:r>
            <w:r w:rsidRPr="00DF10A5">
              <w:rPr>
                <w:sz w:val="18"/>
                <w:szCs w:val="18"/>
              </w:rPr>
              <w:t xml:space="preserve">dmitted </w:t>
            </w:r>
            <w:r w:rsidR="00A75957">
              <w:rPr>
                <w:sz w:val="18"/>
                <w:szCs w:val="18"/>
              </w:rPr>
              <w:t>t</w:t>
            </w:r>
            <w:r w:rsidRPr="00DF10A5">
              <w:rPr>
                <w:sz w:val="18"/>
                <w:szCs w:val="18"/>
              </w:rPr>
              <w:t xml:space="preserve">o </w:t>
            </w:r>
            <w:r w:rsidR="00A75957">
              <w:rPr>
                <w:sz w:val="18"/>
                <w:szCs w:val="18"/>
              </w:rPr>
              <w:t>t</w:t>
            </w:r>
            <w:r w:rsidRPr="00DF10A5">
              <w:rPr>
                <w:sz w:val="18"/>
                <w:szCs w:val="18"/>
              </w:rPr>
              <w:t xml:space="preserve">rading </w:t>
            </w:r>
            <w:r w:rsidR="00A75957">
              <w:rPr>
                <w:sz w:val="18"/>
                <w:szCs w:val="18"/>
              </w:rPr>
              <w:t>o</w:t>
            </w:r>
            <w:r w:rsidRPr="00DF10A5">
              <w:rPr>
                <w:sz w:val="18"/>
                <w:szCs w:val="18"/>
              </w:rPr>
              <w:t xml:space="preserve">n </w:t>
            </w:r>
            <w:r w:rsidR="00A75957">
              <w:rPr>
                <w:sz w:val="18"/>
                <w:szCs w:val="18"/>
              </w:rPr>
              <w:t>a</w:t>
            </w:r>
            <w:r w:rsidRPr="00DF10A5">
              <w:rPr>
                <w:sz w:val="18"/>
                <w:szCs w:val="18"/>
              </w:rPr>
              <w:t xml:space="preserve"> </w:t>
            </w:r>
            <w:r w:rsidR="00A75957">
              <w:rPr>
                <w:sz w:val="18"/>
                <w:szCs w:val="18"/>
              </w:rPr>
              <w:t>t</w:t>
            </w:r>
            <w:r w:rsidRPr="00DF10A5">
              <w:rPr>
                <w:sz w:val="18"/>
                <w:szCs w:val="18"/>
              </w:rPr>
              <w:t xml:space="preserve">rading </w:t>
            </w:r>
            <w:r w:rsidR="00A75957">
              <w:rPr>
                <w:sz w:val="18"/>
                <w:szCs w:val="18"/>
              </w:rPr>
              <w:t>v</w:t>
            </w:r>
            <w:r w:rsidRPr="00DF10A5">
              <w:rPr>
                <w:sz w:val="18"/>
                <w:szCs w:val="18"/>
              </w:rPr>
              <w:t>enue (</w:t>
            </w:r>
            <w:r w:rsidR="00A75957">
              <w:rPr>
                <w:sz w:val="18"/>
                <w:szCs w:val="18"/>
              </w:rPr>
              <w:t>I</w:t>
            </w:r>
            <w:r w:rsidRPr="00DF10A5">
              <w:rPr>
                <w:sz w:val="18"/>
                <w:szCs w:val="18"/>
              </w:rPr>
              <w:t xml:space="preserve">nterest rates derivatives, </w:t>
            </w:r>
            <w:r w:rsidR="00A75957">
              <w:rPr>
                <w:sz w:val="18"/>
                <w:szCs w:val="18"/>
              </w:rPr>
              <w:t>E</w:t>
            </w:r>
            <w:r w:rsidRPr="00DF10A5">
              <w:rPr>
                <w:sz w:val="18"/>
                <w:szCs w:val="18"/>
              </w:rPr>
              <w:t xml:space="preserve">quity </w:t>
            </w:r>
            <w:r w:rsidR="00A75957">
              <w:rPr>
                <w:sz w:val="18"/>
                <w:szCs w:val="18"/>
              </w:rPr>
              <w:t>d</w:t>
            </w:r>
            <w:r w:rsidRPr="00DF10A5">
              <w:rPr>
                <w:sz w:val="18"/>
                <w:szCs w:val="18"/>
              </w:rPr>
              <w:t xml:space="preserve">erivatives, Commodities </w:t>
            </w:r>
            <w:r w:rsidR="00A75957">
              <w:rPr>
                <w:sz w:val="18"/>
                <w:szCs w:val="18"/>
              </w:rPr>
              <w:t>d</w:t>
            </w:r>
            <w:r w:rsidRPr="00DF10A5">
              <w:rPr>
                <w:sz w:val="18"/>
                <w:szCs w:val="18"/>
              </w:rPr>
              <w:t xml:space="preserve">erivatives and </w:t>
            </w:r>
            <w:r w:rsidR="00667CF7" w:rsidRPr="00DF10A5">
              <w:rPr>
                <w:sz w:val="18"/>
                <w:szCs w:val="18"/>
              </w:rPr>
              <w:t>emission allowances derivatives</w:t>
            </w:r>
            <w:r w:rsidRPr="00DF10A5">
              <w:rPr>
                <w:sz w:val="18"/>
                <w:szCs w:val="18"/>
              </w:rPr>
              <w:t>)</w:t>
            </w:r>
          </w:p>
        </w:tc>
      </w:tr>
      <w:tr w:rsidR="00537B02" w:rsidRPr="002300EB" w14:paraId="7AD8F171" w14:textId="77777777" w:rsidTr="000E3A78">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15CD2A35" w14:textId="77777777" w:rsidR="00537B02" w:rsidRPr="002300EB" w:rsidRDefault="00537B02" w:rsidP="000E3A78">
            <w:pPr>
              <w:jc w:val="center"/>
              <w:rPr>
                <w:sz w:val="18"/>
                <w:szCs w:val="18"/>
              </w:rPr>
            </w:pPr>
            <w:r w:rsidRPr="002300EB">
              <w:rPr>
                <w:sz w:val="18"/>
                <w:szCs w:val="18"/>
              </w:rPr>
              <w:t>Summary of Analysis</w:t>
            </w:r>
          </w:p>
        </w:tc>
      </w:tr>
      <w:tr w:rsidR="00537B02" w:rsidRPr="002300EB" w14:paraId="5253EB23" w14:textId="77777777" w:rsidTr="000E3A78">
        <w:trPr>
          <w:trHeight w:val="827"/>
        </w:trPr>
        <w:tc>
          <w:tcPr>
            <w:tcW w:w="14400" w:type="dxa"/>
            <w:gridSpan w:val="2"/>
            <w:tcBorders>
              <w:left w:val="single" w:sz="12" w:space="0" w:color="auto"/>
              <w:right w:val="single" w:sz="12" w:space="0" w:color="auto"/>
            </w:tcBorders>
          </w:tcPr>
          <w:p w14:paraId="4946D50B" w14:textId="38EEBDCE" w:rsidR="00537B02" w:rsidRPr="00537B02" w:rsidRDefault="00537B02" w:rsidP="00537B02">
            <w:pPr>
              <w:spacing w:after="120"/>
              <w:jc w:val="both"/>
              <w:rPr>
                <w:sz w:val="18"/>
                <w:szCs w:val="18"/>
              </w:rPr>
            </w:pPr>
            <w:r w:rsidRPr="00537B02">
              <w:rPr>
                <w:sz w:val="18"/>
                <w:szCs w:val="18"/>
              </w:rPr>
              <w:t xml:space="preserve">The Futures and Options admitted to trading on a trading venue that have been subject to Best Execution are products described in the Appendix 3 of the </w:t>
            </w:r>
            <w:hyperlink r:id="rId17" w:history="1">
              <w:r w:rsidRPr="00AF11BB">
                <w:rPr>
                  <w:rStyle w:val="Hyperlink"/>
                  <w:sz w:val="18"/>
                  <w:szCs w:val="18"/>
                </w:rPr>
                <w:t>J.P. Morgan Execution Policy</w:t>
              </w:r>
            </w:hyperlink>
            <w:r w:rsidRPr="00537B02">
              <w:rPr>
                <w:sz w:val="18"/>
                <w:szCs w:val="18"/>
              </w:rPr>
              <w:t xml:space="preserve">. </w:t>
            </w:r>
          </w:p>
          <w:p w14:paraId="6FB3731C" w14:textId="1F001169" w:rsidR="00537B02" w:rsidRPr="002300EB" w:rsidRDefault="00537B02" w:rsidP="00291D81">
            <w:pPr>
              <w:spacing w:after="120"/>
              <w:jc w:val="both"/>
              <w:rPr>
                <w:sz w:val="18"/>
                <w:szCs w:val="18"/>
              </w:rPr>
            </w:pPr>
            <w:r w:rsidRPr="00537B02">
              <w:rPr>
                <w:sz w:val="18"/>
                <w:szCs w:val="18"/>
              </w:rPr>
              <w:t> J.P. Morgan Securities plc monitored Best Execution in Futures and Options admitted to a trading venue on a regular basis, through post trade controls. The results of the monitoring were reviewed by J.P. Morgan management and control functions.  J.P. Morgan Securities plc regularly reviews the post trade controls to ensure that these continue to be relevant and where possible enhanced to ensure Best Execution obligations are met. Best Execution monitoring results were in line with J.P. Morgan Securities plc expectations</w:t>
            </w:r>
            <w:r w:rsidRPr="00537B02">
              <w:rPr>
                <w:b/>
                <w:bCs/>
                <w:sz w:val="18"/>
                <w:szCs w:val="18"/>
              </w:rPr>
              <w:t>.</w:t>
            </w:r>
          </w:p>
        </w:tc>
      </w:tr>
      <w:tr w:rsidR="00537B02" w:rsidRPr="002300EB" w14:paraId="1266FDD8" w14:textId="77777777" w:rsidTr="000E3A78">
        <w:tc>
          <w:tcPr>
            <w:tcW w:w="4410" w:type="dxa"/>
            <w:tcBorders>
              <w:left w:val="single" w:sz="12" w:space="0" w:color="auto"/>
            </w:tcBorders>
            <w:shd w:val="clear" w:color="auto" w:fill="D9D9D9" w:themeFill="background1" w:themeFillShade="D9"/>
          </w:tcPr>
          <w:p w14:paraId="78708231" w14:textId="77777777" w:rsidR="00537B02" w:rsidRPr="002300EB" w:rsidRDefault="00537B02" w:rsidP="000E3A78">
            <w:pPr>
              <w:rPr>
                <w:sz w:val="18"/>
                <w:szCs w:val="18"/>
              </w:rPr>
            </w:pPr>
            <w:r w:rsidRPr="002300EB">
              <w:rPr>
                <w:sz w:val="18"/>
                <w:szCs w:val="18"/>
              </w:rPr>
              <w:t>Relative importance given to execution factors &amp; other considerations</w:t>
            </w:r>
          </w:p>
        </w:tc>
        <w:tc>
          <w:tcPr>
            <w:tcW w:w="9990" w:type="dxa"/>
            <w:tcBorders>
              <w:right w:val="single" w:sz="12" w:space="0" w:color="auto"/>
            </w:tcBorders>
          </w:tcPr>
          <w:p w14:paraId="0F3F81E6" w14:textId="562A30AF" w:rsidR="00537B02" w:rsidRPr="00537B02" w:rsidRDefault="00537B02" w:rsidP="000E3A78">
            <w:pPr>
              <w:spacing w:after="120"/>
              <w:jc w:val="both"/>
              <w:rPr>
                <w:iCs/>
                <w:sz w:val="18"/>
                <w:szCs w:val="18"/>
              </w:rPr>
            </w:pPr>
            <w:r w:rsidRPr="00537B02">
              <w:rPr>
                <w:iCs/>
                <w:sz w:val="18"/>
                <w:szCs w:val="18"/>
                <w:lang w:val="en-US"/>
              </w:rPr>
              <w:t xml:space="preserve">As per </w:t>
            </w:r>
            <w:hyperlink r:id="rId18" w:history="1">
              <w:r w:rsidRPr="00537B02">
                <w:rPr>
                  <w:rStyle w:val="Hyperlink"/>
                  <w:iCs/>
                  <w:sz w:val="18"/>
                  <w:szCs w:val="18"/>
                  <w:lang w:val="en-US"/>
                </w:rPr>
                <w:t>Appendix 3</w:t>
              </w:r>
            </w:hyperlink>
            <w:r w:rsidRPr="00537B02">
              <w:rPr>
                <w:iCs/>
                <w:sz w:val="18"/>
                <w:szCs w:val="18"/>
                <w:lang w:val="en-US"/>
              </w:rPr>
              <w:t xml:space="preserve"> of the J.P. Morgan Execution Policy</w:t>
            </w:r>
            <w:r w:rsidR="000D1EDA">
              <w:rPr>
                <w:iCs/>
                <w:sz w:val="18"/>
                <w:szCs w:val="18"/>
                <w:lang w:val="en-US"/>
              </w:rPr>
              <w:t xml:space="preserve">, </w:t>
            </w:r>
            <w:r w:rsidRPr="00537B02">
              <w:rPr>
                <w:iCs/>
                <w:sz w:val="18"/>
                <w:szCs w:val="18"/>
                <w:lang w:val="en-US"/>
              </w:rPr>
              <w:t xml:space="preserve"> </w:t>
            </w:r>
            <w:r w:rsidR="000D1EDA" w:rsidRPr="002300EB">
              <w:rPr>
                <w:sz w:val="18"/>
                <w:szCs w:val="18"/>
              </w:rPr>
              <w:t xml:space="preserve">J.P. Morgan Securities plc </w:t>
            </w:r>
            <w:r w:rsidRPr="00537B02">
              <w:rPr>
                <w:iCs/>
                <w:sz w:val="18"/>
                <w:szCs w:val="18"/>
                <w:lang w:val="en-US"/>
              </w:rPr>
              <w:t xml:space="preserve">considers a number of factors when executing client </w:t>
            </w:r>
            <w:r w:rsidR="000D1EDA">
              <w:rPr>
                <w:iCs/>
                <w:sz w:val="18"/>
                <w:szCs w:val="18"/>
                <w:lang w:val="en-US"/>
              </w:rPr>
              <w:t xml:space="preserve">Futures and Options </w:t>
            </w:r>
            <w:r w:rsidRPr="00537B02">
              <w:rPr>
                <w:iCs/>
                <w:sz w:val="18"/>
                <w:szCs w:val="18"/>
                <w:lang w:val="en-US"/>
              </w:rPr>
              <w:t>orders (</w:t>
            </w:r>
            <w:r w:rsidR="000D1EDA">
              <w:rPr>
                <w:iCs/>
                <w:sz w:val="18"/>
                <w:szCs w:val="18"/>
                <w:lang w:val="en-US"/>
              </w:rPr>
              <w:t xml:space="preserve">e.g. </w:t>
            </w:r>
            <w:r w:rsidR="00C336EE">
              <w:rPr>
                <w:iCs/>
                <w:sz w:val="18"/>
                <w:szCs w:val="18"/>
                <w:lang w:val="en-US"/>
              </w:rPr>
              <w:t>p</w:t>
            </w:r>
            <w:r w:rsidRPr="00537B02">
              <w:rPr>
                <w:iCs/>
                <w:sz w:val="18"/>
                <w:szCs w:val="18"/>
                <w:lang w:val="en-US"/>
              </w:rPr>
              <w:t xml:space="preserve">rice, </w:t>
            </w:r>
            <w:r w:rsidR="00C336EE">
              <w:rPr>
                <w:iCs/>
                <w:sz w:val="18"/>
                <w:szCs w:val="18"/>
                <w:lang w:val="en-US"/>
              </w:rPr>
              <w:t>s</w:t>
            </w:r>
            <w:r w:rsidRPr="00537B02">
              <w:rPr>
                <w:iCs/>
                <w:sz w:val="18"/>
                <w:szCs w:val="18"/>
                <w:lang w:val="en-US"/>
              </w:rPr>
              <w:t xml:space="preserve">peed, </w:t>
            </w:r>
            <w:r w:rsidR="00C336EE">
              <w:rPr>
                <w:iCs/>
                <w:sz w:val="18"/>
                <w:szCs w:val="18"/>
                <w:lang w:val="en-US"/>
              </w:rPr>
              <w:t>l</w:t>
            </w:r>
            <w:r w:rsidRPr="00537B02">
              <w:rPr>
                <w:iCs/>
                <w:sz w:val="18"/>
                <w:szCs w:val="18"/>
                <w:lang w:val="en-US"/>
              </w:rPr>
              <w:t xml:space="preserve">ikelihood of </w:t>
            </w:r>
            <w:r w:rsidR="00C336EE">
              <w:rPr>
                <w:iCs/>
                <w:sz w:val="18"/>
                <w:szCs w:val="18"/>
                <w:lang w:val="en-US"/>
              </w:rPr>
              <w:t>e</w:t>
            </w:r>
            <w:r w:rsidRPr="00537B02">
              <w:rPr>
                <w:iCs/>
                <w:sz w:val="18"/>
                <w:szCs w:val="18"/>
                <w:lang w:val="en-US"/>
              </w:rPr>
              <w:t xml:space="preserve">xecution , </w:t>
            </w:r>
            <w:r w:rsidR="00C336EE">
              <w:rPr>
                <w:iCs/>
                <w:sz w:val="18"/>
                <w:szCs w:val="18"/>
                <w:lang w:val="en-US"/>
              </w:rPr>
              <w:t>s</w:t>
            </w:r>
            <w:r w:rsidRPr="00537B02">
              <w:rPr>
                <w:iCs/>
                <w:sz w:val="18"/>
                <w:szCs w:val="18"/>
                <w:lang w:val="en-US"/>
              </w:rPr>
              <w:t xml:space="preserve">ize and </w:t>
            </w:r>
            <w:r w:rsidR="00C336EE">
              <w:rPr>
                <w:iCs/>
                <w:sz w:val="18"/>
                <w:szCs w:val="18"/>
                <w:lang w:val="en-US"/>
              </w:rPr>
              <w:t>c</w:t>
            </w:r>
            <w:r w:rsidRPr="00537B02">
              <w:rPr>
                <w:iCs/>
                <w:sz w:val="18"/>
                <w:szCs w:val="18"/>
                <w:lang w:val="en-US"/>
              </w:rPr>
              <w:t>osts). Depending on the order type and the instructions that client provides to J.P Morgan, certain factors may be deemed to be more important than others.  The execution strategy employed will take into account all the information provided to us by the client, together with our knowledge of the relevant instrument and the market in which the client is seeking to execute.</w:t>
            </w:r>
          </w:p>
        </w:tc>
      </w:tr>
      <w:tr w:rsidR="00537B02" w:rsidRPr="002300EB" w14:paraId="6E84082D" w14:textId="77777777" w:rsidTr="000E3A78">
        <w:tc>
          <w:tcPr>
            <w:tcW w:w="4410" w:type="dxa"/>
            <w:tcBorders>
              <w:left w:val="single" w:sz="12" w:space="0" w:color="auto"/>
            </w:tcBorders>
            <w:shd w:val="clear" w:color="auto" w:fill="D9D9D9" w:themeFill="background1" w:themeFillShade="D9"/>
          </w:tcPr>
          <w:p w14:paraId="1424FE2B" w14:textId="77777777" w:rsidR="00537B02" w:rsidRPr="002300EB" w:rsidRDefault="00537B02" w:rsidP="000E3A78">
            <w:pPr>
              <w:rPr>
                <w:sz w:val="18"/>
                <w:szCs w:val="18"/>
              </w:rPr>
            </w:pPr>
            <w:r w:rsidRPr="002300EB">
              <w:rPr>
                <w:sz w:val="18"/>
                <w:szCs w:val="18"/>
              </w:rPr>
              <w:t>Execution venue close links / conflicts of interest / common ownerships</w:t>
            </w:r>
          </w:p>
        </w:tc>
        <w:tc>
          <w:tcPr>
            <w:tcW w:w="9990" w:type="dxa"/>
            <w:tcBorders>
              <w:right w:val="single" w:sz="12" w:space="0" w:color="auto"/>
            </w:tcBorders>
          </w:tcPr>
          <w:p w14:paraId="6A378206" w14:textId="77777777" w:rsidR="00537B02" w:rsidRPr="002300EB" w:rsidRDefault="00537B02" w:rsidP="000E3A78">
            <w:pPr>
              <w:rPr>
                <w:sz w:val="18"/>
                <w:szCs w:val="18"/>
              </w:rPr>
            </w:pPr>
            <w:r w:rsidRPr="002300EB">
              <w:rPr>
                <w:sz w:val="18"/>
                <w:szCs w:val="18"/>
              </w:rPr>
              <w:t>J.P. Morgan Securities plc is a fully owned subsidiary of JPMorgan Chase &amp; Co.</w:t>
            </w:r>
          </w:p>
        </w:tc>
      </w:tr>
      <w:tr w:rsidR="00537B02" w:rsidRPr="002300EB" w14:paraId="578E1BE4" w14:textId="77777777" w:rsidTr="000E3A78">
        <w:tc>
          <w:tcPr>
            <w:tcW w:w="4410" w:type="dxa"/>
            <w:tcBorders>
              <w:left w:val="single" w:sz="12" w:space="0" w:color="auto"/>
            </w:tcBorders>
            <w:shd w:val="clear" w:color="auto" w:fill="D9D9D9" w:themeFill="background1" w:themeFillShade="D9"/>
          </w:tcPr>
          <w:p w14:paraId="5A3AAB0B" w14:textId="77777777" w:rsidR="00537B02" w:rsidRPr="002300EB" w:rsidRDefault="00537B02" w:rsidP="000E3A78">
            <w:pPr>
              <w:rPr>
                <w:sz w:val="18"/>
                <w:szCs w:val="18"/>
              </w:rPr>
            </w:pPr>
            <w:r w:rsidRPr="002300EB">
              <w:rPr>
                <w:sz w:val="18"/>
                <w:szCs w:val="18"/>
              </w:rPr>
              <w:t>Specific execution venue arrangements</w:t>
            </w:r>
          </w:p>
        </w:tc>
        <w:tc>
          <w:tcPr>
            <w:tcW w:w="9990" w:type="dxa"/>
            <w:tcBorders>
              <w:right w:val="single" w:sz="12" w:space="0" w:color="auto"/>
            </w:tcBorders>
          </w:tcPr>
          <w:p w14:paraId="3A2ACD1F" w14:textId="77777777" w:rsidR="00537B02" w:rsidRPr="00537B02" w:rsidRDefault="00537B02" w:rsidP="00537B02">
            <w:pPr>
              <w:rPr>
                <w:sz w:val="18"/>
                <w:szCs w:val="18"/>
              </w:rPr>
            </w:pPr>
            <w:r w:rsidRPr="00537B02">
              <w:rPr>
                <w:sz w:val="18"/>
                <w:szCs w:val="18"/>
              </w:rPr>
              <w:t>Regarding payments made or received, discounts, rebates or non-monetary benefits received:</w:t>
            </w:r>
          </w:p>
          <w:p w14:paraId="17C0B936" w14:textId="2DE3C0DB" w:rsidR="00537B02" w:rsidRPr="002300EB" w:rsidRDefault="00537B02" w:rsidP="000E3A78">
            <w:pPr>
              <w:rPr>
                <w:sz w:val="18"/>
                <w:szCs w:val="18"/>
              </w:rPr>
            </w:pPr>
            <w:r w:rsidRPr="00537B02">
              <w:rPr>
                <w:sz w:val="18"/>
                <w:szCs w:val="18"/>
              </w:rPr>
              <w:t>J.P. Morgan Securities plc does not have any specific arrangements with any trading venues other than standard publicly available terms.  Where J.P. Morgan Securities plc contracts with execution venues, it may negotiate specific commercial terms bilaterally with those venues but those terms will not include being compensated directly or in-directly for business given to those venues.</w:t>
            </w:r>
          </w:p>
        </w:tc>
      </w:tr>
      <w:tr w:rsidR="00537B02" w:rsidRPr="002300EB" w14:paraId="7766374B" w14:textId="77777777" w:rsidTr="000E3A78">
        <w:trPr>
          <w:trHeight w:val="368"/>
        </w:trPr>
        <w:tc>
          <w:tcPr>
            <w:tcW w:w="4410" w:type="dxa"/>
            <w:tcBorders>
              <w:left w:val="single" w:sz="12" w:space="0" w:color="auto"/>
            </w:tcBorders>
            <w:shd w:val="clear" w:color="auto" w:fill="D9D9D9" w:themeFill="background1" w:themeFillShade="D9"/>
          </w:tcPr>
          <w:p w14:paraId="01D0DA6A" w14:textId="77777777" w:rsidR="00537B02" w:rsidRPr="002300EB" w:rsidRDefault="00537B02" w:rsidP="000E3A78">
            <w:pPr>
              <w:rPr>
                <w:sz w:val="18"/>
                <w:szCs w:val="18"/>
              </w:rPr>
            </w:pPr>
            <w:r w:rsidRPr="002300EB">
              <w:rPr>
                <w:sz w:val="18"/>
                <w:szCs w:val="18"/>
              </w:rPr>
              <w:t>Changes to execution venues</w:t>
            </w:r>
          </w:p>
        </w:tc>
        <w:tc>
          <w:tcPr>
            <w:tcW w:w="9990" w:type="dxa"/>
            <w:tcBorders>
              <w:right w:val="single" w:sz="12" w:space="0" w:color="auto"/>
            </w:tcBorders>
          </w:tcPr>
          <w:p w14:paraId="4457CD27" w14:textId="77777777" w:rsidR="00537B02" w:rsidRPr="002300EB" w:rsidRDefault="00537B02" w:rsidP="000E3A78">
            <w:pPr>
              <w:spacing w:after="120"/>
              <w:rPr>
                <w:sz w:val="18"/>
                <w:szCs w:val="18"/>
              </w:rPr>
            </w:pPr>
            <w:r w:rsidRPr="002300EB">
              <w:rPr>
                <w:sz w:val="18"/>
                <w:szCs w:val="18"/>
              </w:rPr>
              <w:t>Not Applicable</w:t>
            </w:r>
          </w:p>
        </w:tc>
      </w:tr>
      <w:tr w:rsidR="00537B02" w:rsidRPr="002300EB" w14:paraId="62C2E032" w14:textId="77777777" w:rsidTr="000E3A78">
        <w:tc>
          <w:tcPr>
            <w:tcW w:w="4410" w:type="dxa"/>
            <w:tcBorders>
              <w:left w:val="single" w:sz="12" w:space="0" w:color="auto"/>
            </w:tcBorders>
            <w:shd w:val="clear" w:color="auto" w:fill="D9D9D9" w:themeFill="background1" w:themeFillShade="D9"/>
          </w:tcPr>
          <w:p w14:paraId="27643F32" w14:textId="77777777" w:rsidR="00537B02" w:rsidRPr="002300EB" w:rsidRDefault="00537B02" w:rsidP="000E3A78">
            <w:pPr>
              <w:rPr>
                <w:sz w:val="18"/>
                <w:szCs w:val="18"/>
              </w:rPr>
            </w:pPr>
            <w:r w:rsidRPr="002300EB">
              <w:rPr>
                <w:sz w:val="18"/>
                <w:szCs w:val="18"/>
              </w:rPr>
              <w:t>Client distinctions</w:t>
            </w:r>
          </w:p>
        </w:tc>
        <w:tc>
          <w:tcPr>
            <w:tcW w:w="9990" w:type="dxa"/>
            <w:tcBorders>
              <w:right w:val="single" w:sz="12" w:space="0" w:color="auto"/>
            </w:tcBorders>
          </w:tcPr>
          <w:p w14:paraId="4BD919E2" w14:textId="0C706F9F" w:rsidR="00537B02" w:rsidRPr="002300EB" w:rsidRDefault="00537B02" w:rsidP="000E3A78">
            <w:pPr>
              <w:spacing w:after="120"/>
              <w:rPr>
                <w:sz w:val="18"/>
                <w:szCs w:val="18"/>
              </w:rPr>
            </w:pPr>
            <w:r>
              <w:rPr>
                <w:sz w:val="18"/>
                <w:szCs w:val="18"/>
              </w:rPr>
              <w:t xml:space="preserve">Our arrangements do not differ by client categorisation. </w:t>
            </w:r>
          </w:p>
        </w:tc>
      </w:tr>
      <w:tr w:rsidR="00537B02" w:rsidRPr="002300EB" w14:paraId="7A57086A" w14:textId="77777777" w:rsidTr="000E3A78">
        <w:trPr>
          <w:trHeight w:val="70"/>
        </w:trPr>
        <w:tc>
          <w:tcPr>
            <w:tcW w:w="4410" w:type="dxa"/>
            <w:tcBorders>
              <w:left w:val="single" w:sz="12" w:space="0" w:color="auto"/>
            </w:tcBorders>
            <w:shd w:val="clear" w:color="auto" w:fill="D9D9D9" w:themeFill="background1" w:themeFillShade="D9"/>
          </w:tcPr>
          <w:p w14:paraId="691FC9FC" w14:textId="77777777" w:rsidR="00537B02" w:rsidRPr="002300EB" w:rsidRDefault="00537B02" w:rsidP="000E3A78">
            <w:pPr>
              <w:rPr>
                <w:sz w:val="18"/>
                <w:szCs w:val="18"/>
              </w:rPr>
            </w:pPr>
            <w:r w:rsidRPr="002300EB">
              <w:rPr>
                <w:sz w:val="18"/>
                <w:szCs w:val="18"/>
              </w:rPr>
              <w:t>Use of data/tools relating to the quality of execution</w:t>
            </w:r>
          </w:p>
        </w:tc>
        <w:tc>
          <w:tcPr>
            <w:tcW w:w="9990" w:type="dxa"/>
            <w:tcBorders>
              <w:right w:val="single" w:sz="12" w:space="0" w:color="auto"/>
            </w:tcBorders>
          </w:tcPr>
          <w:p w14:paraId="0394B100" w14:textId="64A5A199" w:rsidR="00537B02" w:rsidRPr="002300EB" w:rsidRDefault="00537B02" w:rsidP="000E3A78">
            <w:pPr>
              <w:spacing w:after="120"/>
              <w:rPr>
                <w:sz w:val="18"/>
                <w:szCs w:val="18"/>
              </w:rPr>
            </w:pPr>
            <w:r w:rsidRPr="00537B02">
              <w:rPr>
                <w:sz w:val="18"/>
                <w:szCs w:val="18"/>
              </w:rPr>
              <w:t>As per Appendix 3 of the</w:t>
            </w:r>
            <w:hyperlink r:id="rId19" w:history="1">
              <w:r w:rsidRPr="00AF11BB">
                <w:rPr>
                  <w:rStyle w:val="Hyperlink"/>
                  <w:sz w:val="18"/>
                  <w:szCs w:val="18"/>
                </w:rPr>
                <w:t xml:space="preserve"> J.P. Morgan Execution Policy</w:t>
              </w:r>
            </w:hyperlink>
            <w:r w:rsidRPr="00537B02">
              <w:rPr>
                <w:sz w:val="18"/>
                <w:szCs w:val="18"/>
              </w:rPr>
              <w:t xml:space="preserve"> J.P. Morgan Securities plc monitors the effectiveness of its execution arrangements and assesses on a regular basis whether the execution venues it has selected provide for the best possible result for orders it executes on behalf of its clients. Both readily available market data and J.P. Morgan internal transaction data are used to assess the quality of execution for in-scope orders. Thresholds comparing execution factors with such data are set by J.P. Morgan to monitor execution quality. The results of Best Execution monitoring are reviewed by control-related functions within J.P. Morgan on an ongoing basis and are discussed by J.P. Morgan management and control functions within a committee that has been established for the purpose of governing Best Execution.</w:t>
            </w:r>
          </w:p>
        </w:tc>
      </w:tr>
      <w:tr w:rsidR="00537B02" w:rsidRPr="002300EB" w14:paraId="2C66C38D" w14:textId="77777777" w:rsidTr="000E3A78">
        <w:tc>
          <w:tcPr>
            <w:tcW w:w="4410" w:type="dxa"/>
            <w:tcBorders>
              <w:left w:val="single" w:sz="12" w:space="0" w:color="auto"/>
              <w:bottom w:val="single" w:sz="12" w:space="0" w:color="auto"/>
            </w:tcBorders>
            <w:shd w:val="clear" w:color="auto" w:fill="D9D9D9" w:themeFill="background1" w:themeFillShade="D9"/>
          </w:tcPr>
          <w:p w14:paraId="77EACC48" w14:textId="77777777" w:rsidR="00537B02" w:rsidRPr="002300EB" w:rsidRDefault="00537B02" w:rsidP="000E3A78">
            <w:pPr>
              <w:rPr>
                <w:sz w:val="18"/>
                <w:szCs w:val="18"/>
              </w:rPr>
            </w:pPr>
            <w:r w:rsidRPr="002300EB">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05ABD714" w14:textId="77777777" w:rsidR="00537B02" w:rsidRPr="002300EB" w:rsidRDefault="00537B02" w:rsidP="000E3A78">
            <w:pPr>
              <w:spacing w:after="120"/>
              <w:rPr>
                <w:sz w:val="18"/>
                <w:szCs w:val="18"/>
              </w:rPr>
            </w:pPr>
            <w:r w:rsidRPr="002300EB">
              <w:rPr>
                <w:sz w:val="18"/>
                <w:szCs w:val="18"/>
              </w:rPr>
              <w:t>Not Applicable</w:t>
            </w:r>
          </w:p>
        </w:tc>
      </w:tr>
    </w:tbl>
    <w:p w14:paraId="1B88F890" w14:textId="77777777" w:rsidR="00537B02" w:rsidRDefault="00537B02" w:rsidP="000B7F7D">
      <w:pPr>
        <w:rPr>
          <w:color w:val="FF0000"/>
          <w:sz w:val="18"/>
          <w:szCs w:val="18"/>
        </w:rPr>
      </w:pPr>
    </w:p>
    <w:p w14:paraId="41631370" w14:textId="4B51A92F" w:rsidR="00E815BA" w:rsidRDefault="00E815BA" w:rsidP="000B7F7D">
      <w:pPr>
        <w:rPr>
          <w:color w:val="FF0000"/>
          <w:sz w:val="18"/>
          <w:szCs w:val="18"/>
        </w:rPr>
      </w:pPr>
    </w:p>
    <w:p w14:paraId="16D44053" w14:textId="67B4783B" w:rsidR="0025785A" w:rsidRDefault="0025785A" w:rsidP="000B7F7D">
      <w:pPr>
        <w:rPr>
          <w:color w:val="FF0000"/>
          <w:sz w:val="18"/>
          <w:szCs w:val="18"/>
        </w:rPr>
      </w:pPr>
    </w:p>
    <w:p w14:paraId="11756599" w14:textId="5FC76337" w:rsidR="0025785A" w:rsidRDefault="0025785A" w:rsidP="000B7F7D">
      <w:pPr>
        <w:rPr>
          <w:color w:val="FF0000"/>
          <w:sz w:val="18"/>
          <w:szCs w:val="18"/>
        </w:rPr>
      </w:pPr>
    </w:p>
    <w:p w14:paraId="7F361D80" w14:textId="5A16C69D" w:rsidR="0025785A" w:rsidRDefault="0025785A" w:rsidP="000B7F7D">
      <w:pPr>
        <w:rPr>
          <w:color w:val="FF0000"/>
          <w:sz w:val="18"/>
          <w:szCs w:val="18"/>
        </w:rPr>
      </w:pPr>
    </w:p>
    <w:p w14:paraId="36CE4C7A" w14:textId="77777777" w:rsidR="0025785A" w:rsidRDefault="0025785A" w:rsidP="000B7F7D">
      <w:pPr>
        <w:rPr>
          <w:color w:val="FF0000"/>
          <w:sz w:val="18"/>
          <w:szCs w:val="18"/>
        </w:rPr>
      </w:pPr>
    </w:p>
    <w:tbl>
      <w:tblPr>
        <w:tblStyle w:val="TableGrid"/>
        <w:tblW w:w="14400" w:type="dxa"/>
        <w:tblInd w:w="468" w:type="dxa"/>
        <w:tblLook w:val="04A0" w:firstRow="1" w:lastRow="0" w:firstColumn="1" w:lastColumn="0" w:noHBand="0" w:noVBand="1"/>
      </w:tblPr>
      <w:tblGrid>
        <w:gridCol w:w="4410"/>
        <w:gridCol w:w="9990"/>
      </w:tblGrid>
      <w:tr w:rsidR="0025785A" w:rsidRPr="002300EB" w14:paraId="2EFE8936" w14:textId="77777777" w:rsidTr="000E3A78">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BDDE9C3" w14:textId="77777777" w:rsidR="0025785A" w:rsidRPr="002300EB" w:rsidRDefault="0025785A" w:rsidP="000E3A78">
            <w:pPr>
              <w:rPr>
                <w:sz w:val="18"/>
                <w:szCs w:val="18"/>
              </w:rPr>
            </w:pPr>
            <w:r w:rsidRPr="002300EB">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5B5D8D31" w14:textId="77777777" w:rsidR="0025785A" w:rsidRPr="002300EB" w:rsidRDefault="0025785A" w:rsidP="000E3A78">
            <w:pPr>
              <w:spacing w:after="120"/>
              <w:jc w:val="both"/>
              <w:rPr>
                <w:sz w:val="18"/>
                <w:szCs w:val="18"/>
              </w:rPr>
            </w:pPr>
            <w:r w:rsidRPr="002300EB">
              <w:rPr>
                <w:sz w:val="18"/>
                <w:szCs w:val="18"/>
              </w:rPr>
              <w:t>J.P. Morgan Securities plc (K6Q0W1PS1L1O4IQL9C32)</w:t>
            </w:r>
          </w:p>
        </w:tc>
      </w:tr>
      <w:tr w:rsidR="0025785A" w:rsidRPr="002300EB" w14:paraId="5B41439B" w14:textId="77777777" w:rsidTr="000E3A78">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5E2B27B" w14:textId="77777777" w:rsidR="0025785A" w:rsidRPr="002300EB" w:rsidRDefault="0025785A" w:rsidP="000E3A78">
            <w:pPr>
              <w:rPr>
                <w:sz w:val="18"/>
                <w:szCs w:val="18"/>
              </w:rPr>
            </w:pPr>
            <w:r w:rsidRPr="002300EB">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14E61F08" w14:textId="63D72C51" w:rsidR="0025785A" w:rsidRPr="002300EB" w:rsidRDefault="0025785A" w:rsidP="000E3A78">
            <w:pPr>
              <w:spacing w:after="120"/>
              <w:jc w:val="both"/>
              <w:rPr>
                <w:color w:val="0000FF"/>
                <w:sz w:val="18"/>
                <w:szCs w:val="18"/>
              </w:rPr>
            </w:pPr>
            <w:r>
              <w:rPr>
                <w:sz w:val="18"/>
                <w:szCs w:val="18"/>
              </w:rPr>
              <w:t>Credit</w:t>
            </w:r>
            <w:r w:rsidRPr="002300EB">
              <w:rPr>
                <w:sz w:val="18"/>
                <w:szCs w:val="18"/>
              </w:rPr>
              <w:t xml:space="preserve"> derivatives: </w:t>
            </w:r>
            <w:r>
              <w:rPr>
                <w:sz w:val="18"/>
                <w:szCs w:val="18"/>
              </w:rPr>
              <w:t>O</w:t>
            </w:r>
            <w:r w:rsidRPr="002300EB">
              <w:rPr>
                <w:sz w:val="18"/>
                <w:szCs w:val="18"/>
              </w:rPr>
              <w:t xml:space="preserve">ther </w:t>
            </w:r>
            <w:r>
              <w:rPr>
                <w:sz w:val="18"/>
                <w:szCs w:val="18"/>
              </w:rPr>
              <w:t>credit</w:t>
            </w:r>
            <w:r w:rsidRPr="002300EB">
              <w:rPr>
                <w:sz w:val="18"/>
                <w:szCs w:val="18"/>
              </w:rPr>
              <w:t xml:space="preserve"> derivatives</w:t>
            </w:r>
          </w:p>
        </w:tc>
      </w:tr>
      <w:tr w:rsidR="0025785A" w:rsidRPr="002300EB" w14:paraId="25EE2A8E" w14:textId="77777777" w:rsidTr="000E3A78">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71CB7902" w14:textId="77777777" w:rsidR="0025785A" w:rsidRPr="002300EB" w:rsidRDefault="0025785A" w:rsidP="000E3A78">
            <w:pPr>
              <w:jc w:val="center"/>
              <w:rPr>
                <w:sz w:val="18"/>
                <w:szCs w:val="18"/>
              </w:rPr>
            </w:pPr>
            <w:r w:rsidRPr="002300EB">
              <w:rPr>
                <w:sz w:val="18"/>
                <w:szCs w:val="18"/>
              </w:rPr>
              <w:t>Summary of Analysis</w:t>
            </w:r>
          </w:p>
        </w:tc>
      </w:tr>
      <w:tr w:rsidR="0025785A" w:rsidRPr="002300EB" w14:paraId="7556D8B9" w14:textId="77777777" w:rsidTr="000E3A78">
        <w:trPr>
          <w:trHeight w:val="827"/>
        </w:trPr>
        <w:tc>
          <w:tcPr>
            <w:tcW w:w="14400" w:type="dxa"/>
            <w:gridSpan w:val="2"/>
            <w:tcBorders>
              <w:left w:val="single" w:sz="12" w:space="0" w:color="auto"/>
              <w:right w:val="single" w:sz="12" w:space="0" w:color="auto"/>
            </w:tcBorders>
          </w:tcPr>
          <w:p w14:paraId="51E1E045" w14:textId="15169D92" w:rsidR="0025785A" w:rsidRPr="0025785A" w:rsidRDefault="0025785A" w:rsidP="0025785A">
            <w:pPr>
              <w:spacing w:after="120"/>
              <w:jc w:val="both"/>
              <w:rPr>
                <w:sz w:val="18"/>
                <w:szCs w:val="18"/>
              </w:rPr>
            </w:pPr>
            <w:r w:rsidRPr="0025785A">
              <w:rPr>
                <w:sz w:val="18"/>
                <w:szCs w:val="18"/>
              </w:rPr>
              <w:t xml:space="preserve">The Credit </w:t>
            </w:r>
            <w:r w:rsidR="00292576">
              <w:rPr>
                <w:sz w:val="18"/>
                <w:szCs w:val="18"/>
              </w:rPr>
              <w:t>d</w:t>
            </w:r>
            <w:r w:rsidRPr="0025785A">
              <w:rPr>
                <w:sz w:val="18"/>
                <w:szCs w:val="18"/>
              </w:rPr>
              <w:t xml:space="preserve">erivatives products that have been subject to Best Execution are products falling under the Relevant Structured Products section of </w:t>
            </w:r>
            <w:hyperlink r:id="rId20" w:history="1">
              <w:r w:rsidRPr="0025785A">
                <w:rPr>
                  <w:rStyle w:val="Hyperlink"/>
                  <w:sz w:val="18"/>
                  <w:szCs w:val="18"/>
                </w:rPr>
                <w:t>Appendix 5</w:t>
              </w:r>
            </w:hyperlink>
            <w:r w:rsidRPr="0025785A">
              <w:rPr>
                <w:sz w:val="18"/>
                <w:szCs w:val="18"/>
              </w:rPr>
              <w:t xml:space="preserve"> to the </w:t>
            </w:r>
            <w:hyperlink r:id="rId21" w:history="1">
              <w:r w:rsidRPr="0025785A">
                <w:rPr>
                  <w:rStyle w:val="Hyperlink"/>
                  <w:sz w:val="18"/>
                  <w:szCs w:val="18"/>
                </w:rPr>
                <w:t>J.P. Morgan Execution Policy</w:t>
              </w:r>
            </w:hyperlink>
            <w:r w:rsidRPr="0025785A">
              <w:rPr>
                <w:sz w:val="18"/>
                <w:szCs w:val="18"/>
              </w:rPr>
              <w:t xml:space="preserve">. Due to the nature of J.P. Morgan Securities plc’s business, it owed Best Execution in limited circumstances for Credit </w:t>
            </w:r>
            <w:r w:rsidR="00292576">
              <w:rPr>
                <w:sz w:val="18"/>
                <w:szCs w:val="18"/>
              </w:rPr>
              <w:t>d</w:t>
            </w:r>
            <w:r w:rsidRPr="0025785A">
              <w:rPr>
                <w:sz w:val="18"/>
                <w:szCs w:val="18"/>
              </w:rPr>
              <w:t>erivatives.</w:t>
            </w:r>
          </w:p>
          <w:p w14:paraId="3CE3418F" w14:textId="013262C9" w:rsidR="0025785A" w:rsidRPr="002300EB" w:rsidRDefault="0025785A" w:rsidP="000E3A78">
            <w:pPr>
              <w:spacing w:after="120"/>
              <w:jc w:val="both"/>
              <w:rPr>
                <w:sz w:val="18"/>
                <w:szCs w:val="18"/>
              </w:rPr>
            </w:pPr>
            <w:r w:rsidRPr="0025785A">
              <w:rPr>
                <w:sz w:val="18"/>
                <w:szCs w:val="18"/>
              </w:rPr>
              <w:t xml:space="preserve">J.P. Morgan monitored Best Execution in Credit </w:t>
            </w:r>
            <w:r w:rsidR="00292576">
              <w:rPr>
                <w:sz w:val="18"/>
                <w:szCs w:val="18"/>
              </w:rPr>
              <w:t>d</w:t>
            </w:r>
            <w:r w:rsidRPr="0025785A">
              <w:rPr>
                <w:sz w:val="18"/>
                <w:szCs w:val="18"/>
              </w:rPr>
              <w:t>erivatives on a regular basis, through post-trade controls. The results of the Best Execution monitoring were reviewed by J.P. Morgan management and control functions. In the year 2020,  the review  found that the obligation of Best Execution was met in each case that it was owed and that the correct decision making process was followed in determining which transactions were in scope of the obligation. </w:t>
            </w:r>
          </w:p>
        </w:tc>
      </w:tr>
      <w:tr w:rsidR="0025785A" w:rsidRPr="002300EB" w14:paraId="7B1FF2C4" w14:textId="77777777" w:rsidTr="000E3A78">
        <w:tc>
          <w:tcPr>
            <w:tcW w:w="4410" w:type="dxa"/>
            <w:tcBorders>
              <w:left w:val="single" w:sz="12" w:space="0" w:color="auto"/>
            </w:tcBorders>
            <w:shd w:val="clear" w:color="auto" w:fill="D9D9D9" w:themeFill="background1" w:themeFillShade="D9"/>
          </w:tcPr>
          <w:p w14:paraId="1FC51FE1" w14:textId="77777777" w:rsidR="0025785A" w:rsidRPr="002300EB" w:rsidRDefault="0025785A" w:rsidP="000E3A78">
            <w:pPr>
              <w:rPr>
                <w:sz w:val="18"/>
                <w:szCs w:val="18"/>
              </w:rPr>
            </w:pPr>
            <w:r w:rsidRPr="002300EB">
              <w:rPr>
                <w:sz w:val="18"/>
                <w:szCs w:val="18"/>
              </w:rPr>
              <w:t>Relative importance given to execution factors &amp; other considerations</w:t>
            </w:r>
          </w:p>
        </w:tc>
        <w:tc>
          <w:tcPr>
            <w:tcW w:w="9990" w:type="dxa"/>
            <w:tcBorders>
              <w:right w:val="single" w:sz="12" w:space="0" w:color="auto"/>
            </w:tcBorders>
          </w:tcPr>
          <w:p w14:paraId="6864B927" w14:textId="62286293" w:rsidR="0025785A" w:rsidRPr="0025785A" w:rsidRDefault="0025785A" w:rsidP="000E3A78">
            <w:pPr>
              <w:spacing w:after="120"/>
              <w:jc w:val="both"/>
              <w:rPr>
                <w:sz w:val="18"/>
                <w:szCs w:val="18"/>
              </w:rPr>
            </w:pPr>
            <w:r w:rsidRPr="0025785A">
              <w:rPr>
                <w:sz w:val="18"/>
                <w:szCs w:val="18"/>
              </w:rPr>
              <w:t xml:space="preserve">The importance given in situations in which J.P. Morgan Securities plc owes best execution is set out under the Relevant Structured Products section of </w:t>
            </w:r>
            <w:hyperlink r:id="rId22" w:history="1">
              <w:r w:rsidRPr="0025785A">
                <w:rPr>
                  <w:rStyle w:val="Hyperlink"/>
                  <w:sz w:val="18"/>
                  <w:szCs w:val="18"/>
                </w:rPr>
                <w:t xml:space="preserve">Appendix 5 </w:t>
              </w:r>
            </w:hyperlink>
            <w:r w:rsidRPr="0025785A">
              <w:rPr>
                <w:sz w:val="18"/>
                <w:szCs w:val="18"/>
              </w:rPr>
              <w:t xml:space="preserve">to the </w:t>
            </w:r>
            <w:hyperlink r:id="rId23" w:history="1">
              <w:r w:rsidRPr="0025785A">
                <w:rPr>
                  <w:rStyle w:val="Hyperlink"/>
                  <w:sz w:val="18"/>
                  <w:szCs w:val="18"/>
                </w:rPr>
                <w:t>J.P. Morgan Execution Policy</w:t>
              </w:r>
            </w:hyperlink>
            <w:r w:rsidRPr="0025785A">
              <w:rPr>
                <w:sz w:val="18"/>
                <w:szCs w:val="18"/>
              </w:rPr>
              <w:t xml:space="preserve">. </w:t>
            </w:r>
          </w:p>
        </w:tc>
      </w:tr>
      <w:tr w:rsidR="0025785A" w:rsidRPr="002300EB" w14:paraId="2EBC5E58" w14:textId="77777777" w:rsidTr="000E3A78">
        <w:tc>
          <w:tcPr>
            <w:tcW w:w="4410" w:type="dxa"/>
            <w:tcBorders>
              <w:left w:val="single" w:sz="12" w:space="0" w:color="auto"/>
            </w:tcBorders>
            <w:shd w:val="clear" w:color="auto" w:fill="D9D9D9" w:themeFill="background1" w:themeFillShade="D9"/>
          </w:tcPr>
          <w:p w14:paraId="13B15519" w14:textId="77777777" w:rsidR="0025785A" w:rsidRPr="002300EB" w:rsidRDefault="0025785A" w:rsidP="000E3A78">
            <w:pPr>
              <w:rPr>
                <w:sz w:val="18"/>
                <w:szCs w:val="18"/>
              </w:rPr>
            </w:pPr>
            <w:r w:rsidRPr="002300EB">
              <w:rPr>
                <w:sz w:val="18"/>
                <w:szCs w:val="18"/>
              </w:rPr>
              <w:t>Execution venue close links / conflicts of interest / common ownerships</w:t>
            </w:r>
          </w:p>
        </w:tc>
        <w:tc>
          <w:tcPr>
            <w:tcW w:w="9990" w:type="dxa"/>
            <w:tcBorders>
              <w:right w:val="single" w:sz="12" w:space="0" w:color="auto"/>
            </w:tcBorders>
          </w:tcPr>
          <w:p w14:paraId="151A585B" w14:textId="77777777" w:rsidR="0025785A" w:rsidRPr="002300EB" w:rsidRDefault="0025785A" w:rsidP="000E3A78">
            <w:pPr>
              <w:rPr>
                <w:sz w:val="18"/>
                <w:szCs w:val="18"/>
              </w:rPr>
            </w:pPr>
            <w:r w:rsidRPr="002300EB">
              <w:rPr>
                <w:sz w:val="18"/>
                <w:szCs w:val="18"/>
              </w:rPr>
              <w:t>J.P. Morgan Securities plc is a fully owned subsidiary of JPMorgan Chase &amp; Co.</w:t>
            </w:r>
          </w:p>
        </w:tc>
      </w:tr>
      <w:tr w:rsidR="0025785A" w:rsidRPr="002300EB" w14:paraId="3C06E70F" w14:textId="77777777" w:rsidTr="000E3A78">
        <w:tc>
          <w:tcPr>
            <w:tcW w:w="4410" w:type="dxa"/>
            <w:tcBorders>
              <w:left w:val="single" w:sz="12" w:space="0" w:color="auto"/>
            </w:tcBorders>
            <w:shd w:val="clear" w:color="auto" w:fill="D9D9D9" w:themeFill="background1" w:themeFillShade="D9"/>
          </w:tcPr>
          <w:p w14:paraId="0B7C3428" w14:textId="77777777" w:rsidR="0025785A" w:rsidRPr="002300EB" w:rsidRDefault="0025785A" w:rsidP="000E3A78">
            <w:pPr>
              <w:rPr>
                <w:sz w:val="18"/>
                <w:szCs w:val="18"/>
              </w:rPr>
            </w:pPr>
            <w:r w:rsidRPr="002300EB">
              <w:rPr>
                <w:sz w:val="18"/>
                <w:szCs w:val="18"/>
              </w:rPr>
              <w:t>Specific execution venue arrangements</w:t>
            </w:r>
          </w:p>
        </w:tc>
        <w:tc>
          <w:tcPr>
            <w:tcW w:w="9990" w:type="dxa"/>
            <w:tcBorders>
              <w:right w:val="single" w:sz="12" w:space="0" w:color="auto"/>
            </w:tcBorders>
          </w:tcPr>
          <w:p w14:paraId="36E9A25F" w14:textId="77777777" w:rsidR="0025785A" w:rsidRPr="002300EB" w:rsidRDefault="0025785A" w:rsidP="000E3A78">
            <w:pPr>
              <w:rPr>
                <w:sz w:val="18"/>
                <w:szCs w:val="18"/>
              </w:rPr>
            </w:pPr>
            <w:r w:rsidRPr="002300EB">
              <w:rPr>
                <w:sz w:val="18"/>
                <w:szCs w:val="18"/>
              </w:rPr>
              <w:t xml:space="preserve">J.P. Morgan Securities plc is the sole execution venue. </w:t>
            </w:r>
          </w:p>
        </w:tc>
      </w:tr>
      <w:tr w:rsidR="0025785A" w:rsidRPr="002300EB" w14:paraId="274D644B" w14:textId="77777777" w:rsidTr="000E3A78">
        <w:trPr>
          <w:trHeight w:val="368"/>
        </w:trPr>
        <w:tc>
          <w:tcPr>
            <w:tcW w:w="4410" w:type="dxa"/>
            <w:tcBorders>
              <w:left w:val="single" w:sz="12" w:space="0" w:color="auto"/>
            </w:tcBorders>
            <w:shd w:val="clear" w:color="auto" w:fill="D9D9D9" w:themeFill="background1" w:themeFillShade="D9"/>
          </w:tcPr>
          <w:p w14:paraId="6FDB0E67" w14:textId="77777777" w:rsidR="0025785A" w:rsidRPr="002300EB" w:rsidRDefault="0025785A" w:rsidP="000E3A78">
            <w:pPr>
              <w:rPr>
                <w:sz w:val="18"/>
                <w:szCs w:val="18"/>
              </w:rPr>
            </w:pPr>
            <w:r w:rsidRPr="002300EB">
              <w:rPr>
                <w:sz w:val="18"/>
                <w:szCs w:val="18"/>
              </w:rPr>
              <w:t>Changes to execution venues</w:t>
            </w:r>
          </w:p>
        </w:tc>
        <w:tc>
          <w:tcPr>
            <w:tcW w:w="9990" w:type="dxa"/>
            <w:tcBorders>
              <w:right w:val="single" w:sz="12" w:space="0" w:color="auto"/>
            </w:tcBorders>
          </w:tcPr>
          <w:p w14:paraId="41C46B19" w14:textId="77777777" w:rsidR="0025785A" w:rsidRPr="002300EB" w:rsidRDefault="0025785A" w:rsidP="000E3A78">
            <w:pPr>
              <w:spacing w:after="120"/>
              <w:rPr>
                <w:sz w:val="18"/>
                <w:szCs w:val="18"/>
              </w:rPr>
            </w:pPr>
            <w:r w:rsidRPr="002300EB">
              <w:rPr>
                <w:sz w:val="18"/>
                <w:szCs w:val="18"/>
              </w:rPr>
              <w:t>Not Applicable</w:t>
            </w:r>
          </w:p>
        </w:tc>
      </w:tr>
      <w:tr w:rsidR="0025785A" w:rsidRPr="002300EB" w14:paraId="27CADE16" w14:textId="77777777" w:rsidTr="000E3A78">
        <w:tc>
          <w:tcPr>
            <w:tcW w:w="4410" w:type="dxa"/>
            <w:tcBorders>
              <w:left w:val="single" w:sz="12" w:space="0" w:color="auto"/>
            </w:tcBorders>
            <w:shd w:val="clear" w:color="auto" w:fill="D9D9D9" w:themeFill="background1" w:themeFillShade="D9"/>
          </w:tcPr>
          <w:p w14:paraId="5F0D4C4A" w14:textId="77777777" w:rsidR="0025785A" w:rsidRPr="002300EB" w:rsidRDefault="0025785A" w:rsidP="000E3A78">
            <w:pPr>
              <w:rPr>
                <w:sz w:val="18"/>
                <w:szCs w:val="18"/>
              </w:rPr>
            </w:pPr>
            <w:r w:rsidRPr="002300EB">
              <w:rPr>
                <w:sz w:val="18"/>
                <w:szCs w:val="18"/>
              </w:rPr>
              <w:t>Client distinctions</w:t>
            </w:r>
          </w:p>
        </w:tc>
        <w:tc>
          <w:tcPr>
            <w:tcW w:w="9990" w:type="dxa"/>
            <w:tcBorders>
              <w:right w:val="single" w:sz="12" w:space="0" w:color="auto"/>
            </w:tcBorders>
          </w:tcPr>
          <w:p w14:paraId="1C3491D2" w14:textId="77777777" w:rsidR="0025785A" w:rsidRPr="002300EB" w:rsidRDefault="0025785A" w:rsidP="000E3A78">
            <w:pPr>
              <w:spacing w:after="120"/>
              <w:rPr>
                <w:sz w:val="18"/>
                <w:szCs w:val="18"/>
              </w:rPr>
            </w:pPr>
            <w:r w:rsidRPr="002300EB">
              <w:rPr>
                <w:sz w:val="18"/>
                <w:szCs w:val="18"/>
              </w:rPr>
              <w:t xml:space="preserve">J.P. Morgan Securities plc only deals with Professional clients for the purposes of Best Execution.  </w:t>
            </w:r>
          </w:p>
        </w:tc>
      </w:tr>
      <w:tr w:rsidR="0025785A" w:rsidRPr="002300EB" w14:paraId="5A32D5D3" w14:textId="77777777" w:rsidTr="000E3A78">
        <w:trPr>
          <w:trHeight w:val="70"/>
        </w:trPr>
        <w:tc>
          <w:tcPr>
            <w:tcW w:w="4410" w:type="dxa"/>
            <w:tcBorders>
              <w:left w:val="single" w:sz="12" w:space="0" w:color="auto"/>
            </w:tcBorders>
            <w:shd w:val="clear" w:color="auto" w:fill="D9D9D9" w:themeFill="background1" w:themeFillShade="D9"/>
          </w:tcPr>
          <w:p w14:paraId="2CB6BFB2" w14:textId="77777777" w:rsidR="0025785A" w:rsidRPr="002300EB" w:rsidRDefault="0025785A" w:rsidP="000E3A78">
            <w:pPr>
              <w:rPr>
                <w:sz w:val="18"/>
                <w:szCs w:val="18"/>
              </w:rPr>
            </w:pPr>
            <w:r w:rsidRPr="002300EB">
              <w:rPr>
                <w:sz w:val="18"/>
                <w:szCs w:val="18"/>
              </w:rPr>
              <w:t>Use of data/tools relating to the quality of execution</w:t>
            </w:r>
          </w:p>
        </w:tc>
        <w:tc>
          <w:tcPr>
            <w:tcW w:w="9990" w:type="dxa"/>
            <w:tcBorders>
              <w:right w:val="single" w:sz="12" w:space="0" w:color="auto"/>
            </w:tcBorders>
          </w:tcPr>
          <w:p w14:paraId="79E4D100" w14:textId="3B4C21E2" w:rsidR="0025785A" w:rsidRPr="002300EB" w:rsidRDefault="0025785A" w:rsidP="000E3A78">
            <w:pPr>
              <w:spacing w:after="120"/>
              <w:rPr>
                <w:sz w:val="18"/>
                <w:szCs w:val="18"/>
              </w:rPr>
            </w:pPr>
            <w:r w:rsidRPr="0025785A">
              <w:rPr>
                <w:sz w:val="18"/>
                <w:szCs w:val="18"/>
              </w:rPr>
              <w:t> J.P. Morgan assessed the fairness of pricing of transactions subject to Best Execution by reviewing relevant pricing considerations and available market data in respect of the time of execution.</w:t>
            </w:r>
          </w:p>
        </w:tc>
      </w:tr>
      <w:tr w:rsidR="0025785A" w:rsidRPr="002300EB" w14:paraId="3D9D2865" w14:textId="77777777" w:rsidTr="000E3A78">
        <w:tc>
          <w:tcPr>
            <w:tcW w:w="4410" w:type="dxa"/>
            <w:tcBorders>
              <w:left w:val="single" w:sz="12" w:space="0" w:color="auto"/>
              <w:bottom w:val="single" w:sz="12" w:space="0" w:color="auto"/>
            </w:tcBorders>
            <w:shd w:val="clear" w:color="auto" w:fill="D9D9D9" w:themeFill="background1" w:themeFillShade="D9"/>
          </w:tcPr>
          <w:p w14:paraId="6B41DDFC" w14:textId="77777777" w:rsidR="0025785A" w:rsidRPr="002300EB" w:rsidRDefault="0025785A" w:rsidP="000E3A78">
            <w:pPr>
              <w:rPr>
                <w:sz w:val="18"/>
                <w:szCs w:val="18"/>
              </w:rPr>
            </w:pPr>
            <w:r w:rsidRPr="002300EB">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58EE00AF" w14:textId="77777777" w:rsidR="0025785A" w:rsidRPr="002300EB" w:rsidRDefault="0025785A" w:rsidP="000E3A78">
            <w:pPr>
              <w:spacing w:after="120"/>
              <w:rPr>
                <w:sz w:val="18"/>
                <w:szCs w:val="18"/>
              </w:rPr>
            </w:pPr>
            <w:r w:rsidRPr="002300EB">
              <w:rPr>
                <w:sz w:val="18"/>
                <w:szCs w:val="18"/>
              </w:rPr>
              <w:t>Not Applicable</w:t>
            </w:r>
          </w:p>
        </w:tc>
      </w:tr>
    </w:tbl>
    <w:p w14:paraId="025D61C1" w14:textId="28B15F86" w:rsidR="00E815BA" w:rsidRDefault="00E815BA" w:rsidP="000B7F7D">
      <w:pPr>
        <w:rPr>
          <w:color w:val="FF0000"/>
          <w:sz w:val="18"/>
          <w:szCs w:val="18"/>
        </w:rPr>
      </w:pPr>
    </w:p>
    <w:p w14:paraId="37AA6455" w14:textId="1ED7E3C0" w:rsidR="0025785A" w:rsidRDefault="0025785A" w:rsidP="000B7F7D">
      <w:pPr>
        <w:rPr>
          <w:color w:val="FF0000"/>
          <w:sz w:val="18"/>
          <w:szCs w:val="18"/>
        </w:rPr>
      </w:pPr>
    </w:p>
    <w:p w14:paraId="5B49128B" w14:textId="1D593783" w:rsidR="0025785A" w:rsidRDefault="0025785A" w:rsidP="000B7F7D">
      <w:pPr>
        <w:rPr>
          <w:color w:val="FF0000"/>
          <w:sz w:val="18"/>
          <w:szCs w:val="18"/>
        </w:rPr>
      </w:pPr>
    </w:p>
    <w:p w14:paraId="02B36E57" w14:textId="389CB99A" w:rsidR="0025785A" w:rsidRDefault="0025785A" w:rsidP="000B7F7D">
      <w:pPr>
        <w:rPr>
          <w:color w:val="FF0000"/>
          <w:sz w:val="18"/>
          <w:szCs w:val="18"/>
        </w:rPr>
      </w:pPr>
    </w:p>
    <w:p w14:paraId="6F89130D" w14:textId="78ACBCDA" w:rsidR="0025785A" w:rsidRDefault="0025785A" w:rsidP="000B7F7D">
      <w:pPr>
        <w:rPr>
          <w:color w:val="FF0000"/>
          <w:sz w:val="18"/>
          <w:szCs w:val="18"/>
        </w:rPr>
      </w:pPr>
    </w:p>
    <w:p w14:paraId="15D5DD07" w14:textId="488D0353" w:rsidR="0025785A" w:rsidRDefault="0025785A" w:rsidP="000B7F7D">
      <w:pPr>
        <w:rPr>
          <w:color w:val="FF0000"/>
          <w:sz w:val="18"/>
          <w:szCs w:val="18"/>
        </w:rPr>
      </w:pPr>
    </w:p>
    <w:p w14:paraId="64C56051" w14:textId="030CE31D" w:rsidR="0025785A" w:rsidRDefault="0025785A" w:rsidP="000B7F7D">
      <w:pPr>
        <w:rPr>
          <w:color w:val="FF0000"/>
          <w:sz w:val="18"/>
          <w:szCs w:val="18"/>
        </w:rPr>
      </w:pPr>
    </w:p>
    <w:p w14:paraId="2071814A" w14:textId="3D79BEBD" w:rsidR="0025785A" w:rsidRDefault="0025785A" w:rsidP="000B7F7D">
      <w:pPr>
        <w:rPr>
          <w:color w:val="FF0000"/>
          <w:sz w:val="18"/>
          <w:szCs w:val="18"/>
        </w:rPr>
      </w:pPr>
    </w:p>
    <w:p w14:paraId="029734C0" w14:textId="7DCF664A" w:rsidR="0025785A" w:rsidRDefault="0025785A" w:rsidP="000B7F7D">
      <w:pPr>
        <w:rPr>
          <w:color w:val="FF0000"/>
          <w:sz w:val="18"/>
          <w:szCs w:val="18"/>
        </w:rPr>
      </w:pPr>
    </w:p>
    <w:p w14:paraId="18941C19" w14:textId="0506B531" w:rsidR="0025785A" w:rsidRDefault="0025785A" w:rsidP="000B7F7D">
      <w:pPr>
        <w:rPr>
          <w:color w:val="FF0000"/>
          <w:sz w:val="18"/>
          <w:szCs w:val="18"/>
        </w:rPr>
      </w:pPr>
    </w:p>
    <w:p w14:paraId="6D61BE90" w14:textId="59D88921" w:rsidR="0025785A" w:rsidRDefault="0025785A" w:rsidP="000B7F7D">
      <w:pPr>
        <w:rPr>
          <w:color w:val="FF0000"/>
          <w:sz w:val="18"/>
          <w:szCs w:val="18"/>
        </w:rPr>
      </w:pPr>
    </w:p>
    <w:p w14:paraId="6311A9B4" w14:textId="37A83BC1" w:rsidR="0025785A" w:rsidRDefault="0025785A" w:rsidP="000B7F7D">
      <w:pPr>
        <w:rPr>
          <w:color w:val="FF0000"/>
          <w:sz w:val="18"/>
          <w:szCs w:val="18"/>
        </w:rPr>
      </w:pPr>
    </w:p>
    <w:p w14:paraId="4C091B07" w14:textId="145EB310" w:rsidR="0025785A" w:rsidRDefault="0025785A" w:rsidP="000B7F7D">
      <w:pPr>
        <w:rPr>
          <w:color w:val="FF0000"/>
          <w:sz w:val="18"/>
          <w:szCs w:val="18"/>
        </w:rPr>
      </w:pPr>
    </w:p>
    <w:tbl>
      <w:tblPr>
        <w:tblStyle w:val="TableGrid"/>
        <w:tblW w:w="14400" w:type="dxa"/>
        <w:tblInd w:w="468" w:type="dxa"/>
        <w:tblLook w:val="04A0" w:firstRow="1" w:lastRow="0" w:firstColumn="1" w:lastColumn="0" w:noHBand="0" w:noVBand="1"/>
      </w:tblPr>
      <w:tblGrid>
        <w:gridCol w:w="4410"/>
        <w:gridCol w:w="9990"/>
      </w:tblGrid>
      <w:tr w:rsidR="0025785A" w:rsidRPr="002300EB" w14:paraId="1C66BD45" w14:textId="77777777" w:rsidTr="000E3A78">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23B17E36" w14:textId="77777777" w:rsidR="0025785A" w:rsidRPr="002300EB" w:rsidRDefault="0025785A" w:rsidP="000E3A78">
            <w:pPr>
              <w:rPr>
                <w:sz w:val="18"/>
                <w:szCs w:val="18"/>
              </w:rPr>
            </w:pPr>
            <w:r w:rsidRPr="002300EB">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6B43A03A" w14:textId="77777777" w:rsidR="0025785A" w:rsidRPr="002300EB" w:rsidRDefault="0025785A" w:rsidP="000E3A78">
            <w:pPr>
              <w:spacing w:after="120"/>
              <w:jc w:val="both"/>
              <w:rPr>
                <w:sz w:val="18"/>
                <w:szCs w:val="18"/>
              </w:rPr>
            </w:pPr>
            <w:r w:rsidRPr="002300EB">
              <w:rPr>
                <w:sz w:val="18"/>
                <w:szCs w:val="18"/>
              </w:rPr>
              <w:t>J.P. Morgan Securities plc (K6Q0W1PS1L1O4IQL9C32)</w:t>
            </w:r>
          </w:p>
        </w:tc>
      </w:tr>
      <w:tr w:rsidR="0025785A" w:rsidRPr="002300EB" w14:paraId="0BC85BD5" w14:textId="77777777" w:rsidTr="000E3A78">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2C77BEA2" w14:textId="77777777" w:rsidR="0025785A" w:rsidRPr="002300EB" w:rsidRDefault="0025785A" w:rsidP="000E3A78">
            <w:pPr>
              <w:rPr>
                <w:sz w:val="18"/>
                <w:szCs w:val="18"/>
              </w:rPr>
            </w:pPr>
            <w:r w:rsidRPr="002300EB">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08D91A08" w14:textId="083E8078" w:rsidR="0025785A" w:rsidRPr="002300EB" w:rsidRDefault="0025785A" w:rsidP="000E3A78">
            <w:pPr>
              <w:spacing w:after="120"/>
              <w:jc w:val="both"/>
              <w:rPr>
                <w:color w:val="0000FF"/>
                <w:sz w:val="18"/>
                <w:szCs w:val="18"/>
              </w:rPr>
            </w:pPr>
            <w:r>
              <w:rPr>
                <w:sz w:val="18"/>
                <w:szCs w:val="18"/>
              </w:rPr>
              <w:t>Equity</w:t>
            </w:r>
            <w:r w:rsidRPr="002300EB">
              <w:rPr>
                <w:sz w:val="18"/>
                <w:szCs w:val="18"/>
              </w:rPr>
              <w:t xml:space="preserve"> </w:t>
            </w:r>
            <w:r w:rsidR="00A75957">
              <w:rPr>
                <w:sz w:val="18"/>
                <w:szCs w:val="18"/>
              </w:rPr>
              <w:t>d</w:t>
            </w:r>
            <w:r w:rsidRPr="002300EB">
              <w:rPr>
                <w:sz w:val="18"/>
                <w:szCs w:val="18"/>
              </w:rPr>
              <w:t xml:space="preserve">erivatives: </w:t>
            </w:r>
            <w:r>
              <w:rPr>
                <w:sz w:val="18"/>
                <w:szCs w:val="18"/>
              </w:rPr>
              <w:t>Swaps and o</w:t>
            </w:r>
            <w:r w:rsidRPr="002300EB">
              <w:rPr>
                <w:sz w:val="18"/>
                <w:szCs w:val="18"/>
              </w:rPr>
              <w:t xml:space="preserve">ther </w:t>
            </w:r>
            <w:r>
              <w:rPr>
                <w:sz w:val="18"/>
                <w:szCs w:val="18"/>
              </w:rPr>
              <w:t>equity</w:t>
            </w:r>
            <w:r w:rsidRPr="002300EB">
              <w:rPr>
                <w:sz w:val="18"/>
                <w:szCs w:val="18"/>
              </w:rPr>
              <w:t xml:space="preserve"> derivatives</w:t>
            </w:r>
          </w:p>
        </w:tc>
      </w:tr>
      <w:tr w:rsidR="0025785A" w:rsidRPr="002300EB" w14:paraId="2B2752CB" w14:textId="77777777" w:rsidTr="000E3A78">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2077B354" w14:textId="77777777" w:rsidR="0025785A" w:rsidRPr="002300EB" w:rsidRDefault="0025785A" w:rsidP="000E3A78">
            <w:pPr>
              <w:jc w:val="center"/>
              <w:rPr>
                <w:sz w:val="18"/>
                <w:szCs w:val="18"/>
              </w:rPr>
            </w:pPr>
            <w:r w:rsidRPr="002300EB">
              <w:rPr>
                <w:sz w:val="18"/>
                <w:szCs w:val="18"/>
              </w:rPr>
              <w:t>Summary of Analysis</w:t>
            </w:r>
          </w:p>
        </w:tc>
      </w:tr>
      <w:tr w:rsidR="0025785A" w:rsidRPr="002300EB" w14:paraId="5DB9C56D" w14:textId="77777777" w:rsidTr="000E3A78">
        <w:trPr>
          <w:trHeight w:val="827"/>
        </w:trPr>
        <w:tc>
          <w:tcPr>
            <w:tcW w:w="14400" w:type="dxa"/>
            <w:gridSpan w:val="2"/>
            <w:tcBorders>
              <w:left w:val="single" w:sz="12" w:space="0" w:color="auto"/>
              <w:right w:val="single" w:sz="12" w:space="0" w:color="auto"/>
            </w:tcBorders>
          </w:tcPr>
          <w:p w14:paraId="1E9FEED8" w14:textId="0089D414" w:rsidR="0025785A" w:rsidRPr="0025785A" w:rsidRDefault="0025785A" w:rsidP="000E3A78">
            <w:pPr>
              <w:spacing w:after="120"/>
              <w:jc w:val="both"/>
              <w:rPr>
                <w:sz w:val="18"/>
                <w:szCs w:val="18"/>
              </w:rPr>
            </w:pPr>
            <w:r w:rsidRPr="0025785A">
              <w:rPr>
                <w:sz w:val="18"/>
                <w:szCs w:val="18"/>
              </w:rPr>
              <w:t xml:space="preserve">The </w:t>
            </w:r>
            <w:r>
              <w:rPr>
                <w:sz w:val="18"/>
                <w:szCs w:val="18"/>
              </w:rPr>
              <w:t>Equity</w:t>
            </w:r>
            <w:r w:rsidRPr="0025785A">
              <w:rPr>
                <w:sz w:val="18"/>
                <w:szCs w:val="18"/>
              </w:rPr>
              <w:t xml:space="preserve"> </w:t>
            </w:r>
            <w:r w:rsidR="00292576">
              <w:rPr>
                <w:sz w:val="18"/>
                <w:szCs w:val="18"/>
              </w:rPr>
              <w:t>d</w:t>
            </w:r>
            <w:r w:rsidRPr="0025785A">
              <w:rPr>
                <w:sz w:val="18"/>
                <w:szCs w:val="18"/>
              </w:rPr>
              <w:t xml:space="preserve">erivatives products that have been subject to Best Execution are products falling under the Relevant Structured Products section of </w:t>
            </w:r>
            <w:hyperlink r:id="rId24" w:history="1">
              <w:r w:rsidRPr="0025785A">
                <w:rPr>
                  <w:rStyle w:val="Hyperlink"/>
                  <w:sz w:val="18"/>
                  <w:szCs w:val="18"/>
                </w:rPr>
                <w:t>Appendix 5</w:t>
              </w:r>
            </w:hyperlink>
            <w:r w:rsidRPr="0025785A">
              <w:rPr>
                <w:sz w:val="18"/>
                <w:szCs w:val="18"/>
              </w:rPr>
              <w:t xml:space="preserve"> to the </w:t>
            </w:r>
            <w:hyperlink r:id="rId25" w:history="1">
              <w:r w:rsidRPr="0025785A">
                <w:rPr>
                  <w:rStyle w:val="Hyperlink"/>
                  <w:sz w:val="18"/>
                  <w:szCs w:val="18"/>
                </w:rPr>
                <w:t>J.P. Morgan Execution Policy</w:t>
              </w:r>
            </w:hyperlink>
            <w:r w:rsidRPr="0025785A">
              <w:rPr>
                <w:sz w:val="18"/>
                <w:szCs w:val="18"/>
              </w:rPr>
              <w:t xml:space="preserve">. Due to the nature of J.P. Morgan Securities plc’s business, it owed Best Execution in limited circumstances for </w:t>
            </w:r>
            <w:r>
              <w:rPr>
                <w:sz w:val="18"/>
                <w:szCs w:val="18"/>
              </w:rPr>
              <w:t>Equity</w:t>
            </w:r>
            <w:r w:rsidRPr="0025785A">
              <w:rPr>
                <w:sz w:val="18"/>
                <w:szCs w:val="18"/>
              </w:rPr>
              <w:t xml:space="preserve"> </w:t>
            </w:r>
            <w:r w:rsidR="00292576">
              <w:rPr>
                <w:sz w:val="18"/>
                <w:szCs w:val="18"/>
              </w:rPr>
              <w:t>d</w:t>
            </w:r>
            <w:r w:rsidRPr="0025785A">
              <w:rPr>
                <w:sz w:val="18"/>
                <w:szCs w:val="18"/>
              </w:rPr>
              <w:t>erivatives.</w:t>
            </w:r>
          </w:p>
          <w:p w14:paraId="789A97AD" w14:textId="206E6CE5" w:rsidR="0025785A" w:rsidRPr="002300EB" w:rsidRDefault="0025785A" w:rsidP="000E3A78">
            <w:pPr>
              <w:spacing w:after="120"/>
              <w:jc w:val="both"/>
              <w:rPr>
                <w:sz w:val="18"/>
                <w:szCs w:val="18"/>
              </w:rPr>
            </w:pPr>
            <w:r w:rsidRPr="0025785A">
              <w:rPr>
                <w:sz w:val="18"/>
                <w:szCs w:val="18"/>
              </w:rPr>
              <w:t xml:space="preserve">J.P. Morgan monitored Best Execution in </w:t>
            </w:r>
            <w:r>
              <w:rPr>
                <w:sz w:val="18"/>
                <w:szCs w:val="18"/>
              </w:rPr>
              <w:t>Equity</w:t>
            </w:r>
            <w:r w:rsidRPr="0025785A">
              <w:rPr>
                <w:sz w:val="18"/>
                <w:szCs w:val="18"/>
              </w:rPr>
              <w:t xml:space="preserve"> </w:t>
            </w:r>
            <w:r w:rsidR="00292576">
              <w:rPr>
                <w:sz w:val="18"/>
                <w:szCs w:val="18"/>
              </w:rPr>
              <w:t>d</w:t>
            </w:r>
            <w:r w:rsidRPr="0025785A">
              <w:rPr>
                <w:sz w:val="18"/>
                <w:szCs w:val="18"/>
              </w:rPr>
              <w:t>erivatives on a regular basis, through post-trade controls. The results of the Best Execution monitoring were reviewed by J.P. Morgan management and control functions. In the year 2020,  the review  found that the obligation of Best Execution was met in each case that it was owed and that the correct decision making process was followed in determining which transactions were in scope of the obligation. </w:t>
            </w:r>
          </w:p>
        </w:tc>
      </w:tr>
      <w:tr w:rsidR="0025785A" w:rsidRPr="002300EB" w14:paraId="5A6054C2" w14:textId="77777777" w:rsidTr="000E3A78">
        <w:tc>
          <w:tcPr>
            <w:tcW w:w="4410" w:type="dxa"/>
            <w:tcBorders>
              <w:left w:val="single" w:sz="12" w:space="0" w:color="auto"/>
            </w:tcBorders>
            <w:shd w:val="clear" w:color="auto" w:fill="D9D9D9" w:themeFill="background1" w:themeFillShade="D9"/>
          </w:tcPr>
          <w:p w14:paraId="3AD7D0EC" w14:textId="77777777" w:rsidR="0025785A" w:rsidRPr="002300EB" w:rsidRDefault="0025785A" w:rsidP="000E3A78">
            <w:pPr>
              <w:rPr>
                <w:sz w:val="18"/>
                <w:szCs w:val="18"/>
              </w:rPr>
            </w:pPr>
            <w:r w:rsidRPr="002300EB">
              <w:rPr>
                <w:sz w:val="18"/>
                <w:szCs w:val="18"/>
              </w:rPr>
              <w:t>Relative importance given to execution factors &amp; other considerations</w:t>
            </w:r>
          </w:p>
        </w:tc>
        <w:tc>
          <w:tcPr>
            <w:tcW w:w="9990" w:type="dxa"/>
            <w:tcBorders>
              <w:right w:val="single" w:sz="12" w:space="0" w:color="auto"/>
            </w:tcBorders>
          </w:tcPr>
          <w:p w14:paraId="0476BDE9" w14:textId="77777777" w:rsidR="0025785A" w:rsidRPr="0025785A" w:rsidRDefault="0025785A" w:rsidP="000E3A78">
            <w:pPr>
              <w:spacing w:after="120"/>
              <w:jc w:val="both"/>
              <w:rPr>
                <w:sz w:val="18"/>
                <w:szCs w:val="18"/>
              </w:rPr>
            </w:pPr>
            <w:r w:rsidRPr="0025785A">
              <w:rPr>
                <w:sz w:val="18"/>
                <w:szCs w:val="18"/>
              </w:rPr>
              <w:t xml:space="preserve">The importance given in situations in which J.P. Morgan Securities plc owes best execution is set out under the Relevant Structured Products section of </w:t>
            </w:r>
            <w:hyperlink r:id="rId26" w:history="1">
              <w:r w:rsidRPr="0025785A">
                <w:rPr>
                  <w:rStyle w:val="Hyperlink"/>
                  <w:sz w:val="18"/>
                  <w:szCs w:val="18"/>
                </w:rPr>
                <w:t xml:space="preserve">Appendix 5 </w:t>
              </w:r>
            </w:hyperlink>
            <w:r w:rsidRPr="0025785A">
              <w:rPr>
                <w:sz w:val="18"/>
                <w:szCs w:val="18"/>
              </w:rPr>
              <w:t xml:space="preserve">to the </w:t>
            </w:r>
            <w:hyperlink r:id="rId27" w:history="1">
              <w:r w:rsidRPr="0025785A">
                <w:rPr>
                  <w:rStyle w:val="Hyperlink"/>
                  <w:sz w:val="18"/>
                  <w:szCs w:val="18"/>
                </w:rPr>
                <w:t>J.P. Morgan Execution Policy</w:t>
              </w:r>
            </w:hyperlink>
            <w:r w:rsidRPr="0025785A">
              <w:rPr>
                <w:sz w:val="18"/>
                <w:szCs w:val="18"/>
              </w:rPr>
              <w:t xml:space="preserve">. </w:t>
            </w:r>
          </w:p>
        </w:tc>
      </w:tr>
      <w:tr w:rsidR="0025785A" w:rsidRPr="002300EB" w14:paraId="3C6CDC1C" w14:textId="77777777" w:rsidTr="000E3A78">
        <w:tc>
          <w:tcPr>
            <w:tcW w:w="4410" w:type="dxa"/>
            <w:tcBorders>
              <w:left w:val="single" w:sz="12" w:space="0" w:color="auto"/>
            </w:tcBorders>
            <w:shd w:val="clear" w:color="auto" w:fill="D9D9D9" w:themeFill="background1" w:themeFillShade="D9"/>
          </w:tcPr>
          <w:p w14:paraId="3CA06A66" w14:textId="77777777" w:rsidR="0025785A" w:rsidRPr="002300EB" w:rsidRDefault="0025785A" w:rsidP="000E3A78">
            <w:pPr>
              <w:rPr>
                <w:sz w:val="18"/>
                <w:szCs w:val="18"/>
              </w:rPr>
            </w:pPr>
            <w:r w:rsidRPr="002300EB">
              <w:rPr>
                <w:sz w:val="18"/>
                <w:szCs w:val="18"/>
              </w:rPr>
              <w:t>Execution venue close links / conflicts of interest / common ownerships</w:t>
            </w:r>
          </w:p>
        </w:tc>
        <w:tc>
          <w:tcPr>
            <w:tcW w:w="9990" w:type="dxa"/>
            <w:tcBorders>
              <w:right w:val="single" w:sz="12" w:space="0" w:color="auto"/>
            </w:tcBorders>
          </w:tcPr>
          <w:p w14:paraId="711E8F50" w14:textId="77777777" w:rsidR="0025785A" w:rsidRPr="002300EB" w:rsidRDefault="0025785A" w:rsidP="000E3A78">
            <w:pPr>
              <w:rPr>
                <w:sz w:val="18"/>
                <w:szCs w:val="18"/>
              </w:rPr>
            </w:pPr>
            <w:r w:rsidRPr="002300EB">
              <w:rPr>
                <w:sz w:val="18"/>
                <w:szCs w:val="18"/>
              </w:rPr>
              <w:t>J.P. Morgan Securities plc is a fully owned subsidiary of JPMorgan Chase &amp; Co.</w:t>
            </w:r>
          </w:p>
        </w:tc>
      </w:tr>
      <w:tr w:rsidR="0025785A" w:rsidRPr="002300EB" w14:paraId="3D6B9A2A" w14:textId="77777777" w:rsidTr="000E3A78">
        <w:tc>
          <w:tcPr>
            <w:tcW w:w="4410" w:type="dxa"/>
            <w:tcBorders>
              <w:left w:val="single" w:sz="12" w:space="0" w:color="auto"/>
            </w:tcBorders>
            <w:shd w:val="clear" w:color="auto" w:fill="D9D9D9" w:themeFill="background1" w:themeFillShade="D9"/>
          </w:tcPr>
          <w:p w14:paraId="3744F550" w14:textId="77777777" w:rsidR="0025785A" w:rsidRPr="002300EB" w:rsidRDefault="0025785A" w:rsidP="000E3A78">
            <w:pPr>
              <w:rPr>
                <w:sz w:val="18"/>
                <w:szCs w:val="18"/>
              </w:rPr>
            </w:pPr>
            <w:r w:rsidRPr="002300EB">
              <w:rPr>
                <w:sz w:val="18"/>
                <w:szCs w:val="18"/>
              </w:rPr>
              <w:t>Specific execution venue arrangements</w:t>
            </w:r>
          </w:p>
        </w:tc>
        <w:tc>
          <w:tcPr>
            <w:tcW w:w="9990" w:type="dxa"/>
            <w:tcBorders>
              <w:right w:val="single" w:sz="12" w:space="0" w:color="auto"/>
            </w:tcBorders>
          </w:tcPr>
          <w:p w14:paraId="6B83E16A" w14:textId="77777777" w:rsidR="0025785A" w:rsidRPr="002300EB" w:rsidRDefault="0025785A" w:rsidP="000E3A78">
            <w:pPr>
              <w:rPr>
                <w:sz w:val="18"/>
                <w:szCs w:val="18"/>
              </w:rPr>
            </w:pPr>
            <w:r w:rsidRPr="002300EB">
              <w:rPr>
                <w:sz w:val="18"/>
                <w:szCs w:val="18"/>
              </w:rPr>
              <w:t xml:space="preserve">J.P. Morgan Securities plc is the sole execution venue. </w:t>
            </w:r>
          </w:p>
        </w:tc>
      </w:tr>
      <w:tr w:rsidR="0025785A" w:rsidRPr="002300EB" w14:paraId="4346C50A" w14:textId="77777777" w:rsidTr="000E3A78">
        <w:trPr>
          <w:trHeight w:val="368"/>
        </w:trPr>
        <w:tc>
          <w:tcPr>
            <w:tcW w:w="4410" w:type="dxa"/>
            <w:tcBorders>
              <w:left w:val="single" w:sz="12" w:space="0" w:color="auto"/>
            </w:tcBorders>
            <w:shd w:val="clear" w:color="auto" w:fill="D9D9D9" w:themeFill="background1" w:themeFillShade="D9"/>
          </w:tcPr>
          <w:p w14:paraId="6406246F" w14:textId="77777777" w:rsidR="0025785A" w:rsidRPr="002300EB" w:rsidRDefault="0025785A" w:rsidP="000E3A78">
            <w:pPr>
              <w:rPr>
                <w:sz w:val="18"/>
                <w:szCs w:val="18"/>
              </w:rPr>
            </w:pPr>
            <w:r w:rsidRPr="002300EB">
              <w:rPr>
                <w:sz w:val="18"/>
                <w:szCs w:val="18"/>
              </w:rPr>
              <w:t>Changes to execution venues</w:t>
            </w:r>
          </w:p>
        </w:tc>
        <w:tc>
          <w:tcPr>
            <w:tcW w:w="9990" w:type="dxa"/>
            <w:tcBorders>
              <w:right w:val="single" w:sz="12" w:space="0" w:color="auto"/>
            </w:tcBorders>
          </w:tcPr>
          <w:p w14:paraId="5AB094BC" w14:textId="77777777" w:rsidR="0025785A" w:rsidRPr="002300EB" w:rsidRDefault="0025785A" w:rsidP="000E3A78">
            <w:pPr>
              <w:spacing w:after="120"/>
              <w:rPr>
                <w:sz w:val="18"/>
                <w:szCs w:val="18"/>
              </w:rPr>
            </w:pPr>
            <w:r w:rsidRPr="002300EB">
              <w:rPr>
                <w:sz w:val="18"/>
                <w:szCs w:val="18"/>
              </w:rPr>
              <w:t>Not Applicable</w:t>
            </w:r>
          </w:p>
        </w:tc>
      </w:tr>
      <w:tr w:rsidR="0025785A" w:rsidRPr="002300EB" w14:paraId="530E387F" w14:textId="77777777" w:rsidTr="000E3A78">
        <w:tc>
          <w:tcPr>
            <w:tcW w:w="4410" w:type="dxa"/>
            <w:tcBorders>
              <w:left w:val="single" w:sz="12" w:space="0" w:color="auto"/>
            </w:tcBorders>
            <w:shd w:val="clear" w:color="auto" w:fill="D9D9D9" w:themeFill="background1" w:themeFillShade="D9"/>
          </w:tcPr>
          <w:p w14:paraId="0D01FB2F" w14:textId="77777777" w:rsidR="0025785A" w:rsidRPr="002300EB" w:rsidRDefault="0025785A" w:rsidP="000E3A78">
            <w:pPr>
              <w:rPr>
                <w:sz w:val="18"/>
                <w:szCs w:val="18"/>
              </w:rPr>
            </w:pPr>
            <w:r w:rsidRPr="002300EB">
              <w:rPr>
                <w:sz w:val="18"/>
                <w:szCs w:val="18"/>
              </w:rPr>
              <w:t>Client distinctions</w:t>
            </w:r>
          </w:p>
        </w:tc>
        <w:tc>
          <w:tcPr>
            <w:tcW w:w="9990" w:type="dxa"/>
            <w:tcBorders>
              <w:right w:val="single" w:sz="12" w:space="0" w:color="auto"/>
            </w:tcBorders>
          </w:tcPr>
          <w:p w14:paraId="200DF8CB" w14:textId="77777777" w:rsidR="0025785A" w:rsidRPr="002300EB" w:rsidRDefault="0025785A" w:rsidP="000E3A78">
            <w:pPr>
              <w:spacing w:after="120"/>
              <w:rPr>
                <w:sz w:val="18"/>
                <w:szCs w:val="18"/>
              </w:rPr>
            </w:pPr>
            <w:r w:rsidRPr="002300EB">
              <w:rPr>
                <w:sz w:val="18"/>
                <w:szCs w:val="18"/>
              </w:rPr>
              <w:t xml:space="preserve">J.P. Morgan Securities plc only deals with Professional clients for the purposes of Best Execution.  </w:t>
            </w:r>
          </w:p>
        </w:tc>
      </w:tr>
      <w:tr w:rsidR="0025785A" w:rsidRPr="002300EB" w14:paraId="78A52B28" w14:textId="77777777" w:rsidTr="000E3A78">
        <w:trPr>
          <w:trHeight w:val="70"/>
        </w:trPr>
        <w:tc>
          <w:tcPr>
            <w:tcW w:w="4410" w:type="dxa"/>
            <w:tcBorders>
              <w:left w:val="single" w:sz="12" w:space="0" w:color="auto"/>
            </w:tcBorders>
            <w:shd w:val="clear" w:color="auto" w:fill="D9D9D9" w:themeFill="background1" w:themeFillShade="D9"/>
          </w:tcPr>
          <w:p w14:paraId="639A352E" w14:textId="77777777" w:rsidR="0025785A" w:rsidRPr="002300EB" w:rsidRDefault="0025785A" w:rsidP="000E3A78">
            <w:pPr>
              <w:rPr>
                <w:sz w:val="18"/>
                <w:szCs w:val="18"/>
              </w:rPr>
            </w:pPr>
            <w:r w:rsidRPr="002300EB">
              <w:rPr>
                <w:sz w:val="18"/>
                <w:szCs w:val="18"/>
              </w:rPr>
              <w:t>Use of data/tools relating to the quality of execution</w:t>
            </w:r>
          </w:p>
        </w:tc>
        <w:tc>
          <w:tcPr>
            <w:tcW w:w="9990" w:type="dxa"/>
            <w:tcBorders>
              <w:right w:val="single" w:sz="12" w:space="0" w:color="auto"/>
            </w:tcBorders>
          </w:tcPr>
          <w:p w14:paraId="2DF705C5" w14:textId="77777777" w:rsidR="0025785A" w:rsidRPr="002300EB" w:rsidRDefault="0025785A" w:rsidP="000E3A78">
            <w:pPr>
              <w:spacing w:after="120"/>
              <w:rPr>
                <w:sz w:val="18"/>
                <w:szCs w:val="18"/>
              </w:rPr>
            </w:pPr>
            <w:r w:rsidRPr="0025785A">
              <w:rPr>
                <w:sz w:val="18"/>
                <w:szCs w:val="18"/>
              </w:rPr>
              <w:t> J.P. Morgan assessed the fairness of pricing of transactions subject to Best Execution by reviewing relevant pricing considerations and available market data in respect of the time of execution.</w:t>
            </w:r>
          </w:p>
        </w:tc>
      </w:tr>
      <w:tr w:rsidR="0025785A" w:rsidRPr="002300EB" w14:paraId="1E127F84" w14:textId="77777777" w:rsidTr="000E3A78">
        <w:tc>
          <w:tcPr>
            <w:tcW w:w="4410" w:type="dxa"/>
            <w:tcBorders>
              <w:left w:val="single" w:sz="12" w:space="0" w:color="auto"/>
              <w:bottom w:val="single" w:sz="12" w:space="0" w:color="auto"/>
            </w:tcBorders>
            <w:shd w:val="clear" w:color="auto" w:fill="D9D9D9" w:themeFill="background1" w:themeFillShade="D9"/>
          </w:tcPr>
          <w:p w14:paraId="7375A081" w14:textId="77777777" w:rsidR="0025785A" w:rsidRPr="002300EB" w:rsidRDefault="0025785A" w:rsidP="000E3A78">
            <w:pPr>
              <w:rPr>
                <w:sz w:val="18"/>
                <w:szCs w:val="18"/>
              </w:rPr>
            </w:pPr>
            <w:r w:rsidRPr="002300EB">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029B6230" w14:textId="77777777" w:rsidR="0025785A" w:rsidRPr="002300EB" w:rsidRDefault="0025785A" w:rsidP="000E3A78">
            <w:pPr>
              <w:spacing w:after="120"/>
              <w:rPr>
                <w:sz w:val="18"/>
                <w:szCs w:val="18"/>
              </w:rPr>
            </w:pPr>
            <w:r w:rsidRPr="002300EB">
              <w:rPr>
                <w:sz w:val="18"/>
                <w:szCs w:val="18"/>
              </w:rPr>
              <w:t>Not Applicable</w:t>
            </w:r>
          </w:p>
        </w:tc>
      </w:tr>
    </w:tbl>
    <w:p w14:paraId="10082649" w14:textId="5792E91C" w:rsidR="0025785A" w:rsidRDefault="0025785A" w:rsidP="000B7F7D">
      <w:pPr>
        <w:rPr>
          <w:color w:val="FF0000"/>
          <w:sz w:val="18"/>
          <w:szCs w:val="18"/>
        </w:rPr>
      </w:pPr>
    </w:p>
    <w:p w14:paraId="3A05B8E1" w14:textId="08926430" w:rsidR="00C37120" w:rsidRDefault="00C37120" w:rsidP="000B7F7D">
      <w:pPr>
        <w:rPr>
          <w:color w:val="FF0000"/>
          <w:sz w:val="18"/>
          <w:szCs w:val="18"/>
        </w:rPr>
      </w:pPr>
    </w:p>
    <w:p w14:paraId="731A2DBF" w14:textId="4E59EDF3" w:rsidR="00C37120" w:rsidRDefault="00C37120" w:rsidP="000B7F7D">
      <w:pPr>
        <w:rPr>
          <w:color w:val="FF0000"/>
          <w:sz w:val="18"/>
          <w:szCs w:val="18"/>
        </w:rPr>
      </w:pPr>
    </w:p>
    <w:p w14:paraId="6B0A5CF7" w14:textId="079D59D5" w:rsidR="00C37120" w:rsidRDefault="00C37120" w:rsidP="000B7F7D">
      <w:pPr>
        <w:rPr>
          <w:color w:val="FF0000"/>
          <w:sz w:val="18"/>
          <w:szCs w:val="18"/>
        </w:rPr>
      </w:pPr>
    </w:p>
    <w:p w14:paraId="3A8BFBA6" w14:textId="2741DCC8" w:rsidR="00C37120" w:rsidRDefault="00C37120" w:rsidP="000B7F7D">
      <w:pPr>
        <w:rPr>
          <w:color w:val="FF0000"/>
          <w:sz w:val="18"/>
          <w:szCs w:val="18"/>
        </w:rPr>
      </w:pPr>
    </w:p>
    <w:p w14:paraId="24BFB774" w14:textId="69EDABF7" w:rsidR="00C37120" w:rsidRDefault="00C37120" w:rsidP="000B7F7D">
      <w:pPr>
        <w:rPr>
          <w:color w:val="FF0000"/>
          <w:sz w:val="18"/>
          <w:szCs w:val="18"/>
        </w:rPr>
      </w:pPr>
    </w:p>
    <w:p w14:paraId="5DEAFFDD" w14:textId="1B66B906" w:rsidR="00C37120" w:rsidRDefault="00C37120" w:rsidP="000B7F7D">
      <w:pPr>
        <w:rPr>
          <w:color w:val="FF0000"/>
          <w:sz w:val="18"/>
          <w:szCs w:val="18"/>
        </w:rPr>
      </w:pPr>
    </w:p>
    <w:p w14:paraId="4ED4D8B2" w14:textId="568A035F" w:rsidR="00C37120" w:rsidRDefault="00C37120" w:rsidP="000B7F7D">
      <w:pPr>
        <w:rPr>
          <w:color w:val="FF0000"/>
          <w:sz w:val="18"/>
          <w:szCs w:val="18"/>
        </w:rPr>
      </w:pPr>
    </w:p>
    <w:p w14:paraId="07B04422" w14:textId="1032800E" w:rsidR="00C37120" w:rsidRDefault="00C37120" w:rsidP="000B7F7D">
      <w:pPr>
        <w:rPr>
          <w:color w:val="FF0000"/>
          <w:sz w:val="18"/>
          <w:szCs w:val="18"/>
        </w:rPr>
      </w:pPr>
    </w:p>
    <w:p w14:paraId="7C67594C" w14:textId="23D9AC00" w:rsidR="00C37120" w:rsidRDefault="00C37120" w:rsidP="000B7F7D">
      <w:pPr>
        <w:rPr>
          <w:color w:val="FF0000"/>
          <w:sz w:val="18"/>
          <w:szCs w:val="18"/>
        </w:rPr>
      </w:pPr>
    </w:p>
    <w:tbl>
      <w:tblPr>
        <w:tblStyle w:val="TableGrid"/>
        <w:tblW w:w="14400" w:type="dxa"/>
        <w:tblInd w:w="468" w:type="dxa"/>
        <w:tblLook w:val="04A0" w:firstRow="1" w:lastRow="0" w:firstColumn="1" w:lastColumn="0" w:noHBand="0" w:noVBand="1"/>
      </w:tblPr>
      <w:tblGrid>
        <w:gridCol w:w="4410"/>
        <w:gridCol w:w="9990"/>
      </w:tblGrid>
      <w:tr w:rsidR="00C37120" w:rsidRPr="002300EB" w14:paraId="1305C428" w14:textId="77777777" w:rsidTr="000E3A78">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35F7CE3" w14:textId="77777777" w:rsidR="00C37120" w:rsidRPr="002300EB" w:rsidRDefault="00C37120" w:rsidP="000E3A78">
            <w:pPr>
              <w:rPr>
                <w:sz w:val="18"/>
                <w:szCs w:val="18"/>
              </w:rPr>
            </w:pPr>
            <w:r w:rsidRPr="002300EB">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0146C525" w14:textId="77777777" w:rsidR="00C37120" w:rsidRPr="002300EB" w:rsidRDefault="00C37120" w:rsidP="000E3A78">
            <w:pPr>
              <w:spacing w:after="120"/>
              <w:jc w:val="both"/>
              <w:rPr>
                <w:sz w:val="18"/>
                <w:szCs w:val="18"/>
              </w:rPr>
            </w:pPr>
            <w:r w:rsidRPr="002300EB">
              <w:rPr>
                <w:sz w:val="18"/>
                <w:szCs w:val="18"/>
              </w:rPr>
              <w:t>J.P. Morgan Securities plc (K6Q0W1PS1L1O4IQL9C32)</w:t>
            </w:r>
          </w:p>
        </w:tc>
      </w:tr>
      <w:tr w:rsidR="00C37120" w:rsidRPr="002300EB" w14:paraId="1E56EF78" w14:textId="77777777" w:rsidTr="000E3A78">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5F42F059" w14:textId="77777777" w:rsidR="00C37120" w:rsidRPr="002300EB" w:rsidRDefault="00C37120" w:rsidP="000E3A78">
            <w:pPr>
              <w:rPr>
                <w:sz w:val="18"/>
                <w:szCs w:val="18"/>
              </w:rPr>
            </w:pPr>
            <w:r w:rsidRPr="002300EB">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260B660E" w14:textId="1A9524AC" w:rsidR="00C37120" w:rsidRPr="002300EB" w:rsidRDefault="00C37120" w:rsidP="000E3A78">
            <w:pPr>
              <w:spacing w:after="120"/>
              <w:jc w:val="both"/>
              <w:rPr>
                <w:color w:val="0000FF"/>
                <w:sz w:val="18"/>
                <w:szCs w:val="18"/>
              </w:rPr>
            </w:pPr>
            <w:r w:rsidRPr="002300EB">
              <w:rPr>
                <w:sz w:val="18"/>
                <w:szCs w:val="18"/>
              </w:rPr>
              <w:t>Securi</w:t>
            </w:r>
            <w:r>
              <w:rPr>
                <w:sz w:val="18"/>
                <w:szCs w:val="18"/>
              </w:rPr>
              <w:t xml:space="preserve">tized </w:t>
            </w:r>
            <w:r w:rsidR="00A75957">
              <w:rPr>
                <w:sz w:val="18"/>
                <w:szCs w:val="18"/>
              </w:rPr>
              <w:t>d</w:t>
            </w:r>
            <w:r>
              <w:rPr>
                <w:sz w:val="18"/>
                <w:szCs w:val="18"/>
              </w:rPr>
              <w:t xml:space="preserve">erivatives: Other securitized derivatives </w:t>
            </w:r>
          </w:p>
        </w:tc>
      </w:tr>
      <w:tr w:rsidR="00C37120" w:rsidRPr="002300EB" w14:paraId="578FDF6E" w14:textId="77777777" w:rsidTr="000E3A78">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082D93E8" w14:textId="77777777" w:rsidR="00C37120" w:rsidRPr="002300EB" w:rsidRDefault="00C37120" w:rsidP="000E3A78">
            <w:pPr>
              <w:jc w:val="center"/>
              <w:rPr>
                <w:sz w:val="18"/>
                <w:szCs w:val="18"/>
              </w:rPr>
            </w:pPr>
            <w:r w:rsidRPr="002300EB">
              <w:rPr>
                <w:sz w:val="18"/>
                <w:szCs w:val="18"/>
              </w:rPr>
              <w:t>Summary of Analysis</w:t>
            </w:r>
          </w:p>
        </w:tc>
      </w:tr>
      <w:tr w:rsidR="00C37120" w:rsidRPr="002300EB" w14:paraId="4198F737" w14:textId="77777777" w:rsidTr="000E3A78">
        <w:trPr>
          <w:trHeight w:val="827"/>
        </w:trPr>
        <w:tc>
          <w:tcPr>
            <w:tcW w:w="14400" w:type="dxa"/>
            <w:gridSpan w:val="2"/>
            <w:tcBorders>
              <w:left w:val="single" w:sz="12" w:space="0" w:color="auto"/>
              <w:right w:val="single" w:sz="12" w:space="0" w:color="auto"/>
            </w:tcBorders>
          </w:tcPr>
          <w:p w14:paraId="457B68FC" w14:textId="599126CA" w:rsidR="00C37120" w:rsidRPr="0025785A" w:rsidRDefault="00C37120" w:rsidP="000E3A78">
            <w:pPr>
              <w:spacing w:after="120"/>
              <w:jc w:val="both"/>
              <w:rPr>
                <w:sz w:val="18"/>
                <w:szCs w:val="18"/>
              </w:rPr>
            </w:pPr>
            <w:r w:rsidRPr="0025785A">
              <w:rPr>
                <w:sz w:val="18"/>
                <w:szCs w:val="18"/>
              </w:rPr>
              <w:t xml:space="preserve">The </w:t>
            </w:r>
            <w:r>
              <w:rPr>
                <w:sz w:val="18"/>
                <w:szCs w:val="18"/>
              </w:rPr>
              <w:t>Securitized Derivatives</w:t>
            </w:r>
            <w:r w:rsidRPr="0025785A">
              <w:rPr>
                <w:sz w:val="18"/>
                <w:szCs w:val="18"/>
              </w:rPr>
              <w:t xml:space="preserve"> products that have been subject to Best Execution are products falling under the Relevant Structured Products section of </w:t>
            </w:r>
            <w:hyperlink r:id="rId28" w:history="1">
              <w:r w:rsidRPr="0025785A">
                <w:rPr>
                  <w:rStyle w:val="Hyperlink"/>
                  <w:sz w:val="18"/>
                  <w:szCs w:val="18"/>
                </w:rPr>
                <w:t>Appendix 5</w:t>
              </w:r>
            </w:hyperlink>
            <w:r w:rsidRPr="0025785A">
              <w:rPr>
                <w:sz w:val="18"/>
                <w:szCs w:val="18"/>
              </w:rPr>
              <w:t xml:space="preserve"> to the </w:t>
            </w:r>
            <w:hyperlink r:id="rId29" w:history="1">
              <w:r w:rsidRPr="0025785A">
                <w:rPr>
                  <w:rStyle w:val="Hyperlink"/>
                  <w:sz w:val="18"/>
                  <w:szCs w:val="18"/>
                </w:rPr>
                <w:t>J.P. Morgan Execution Policy</w:t>
              </w:r>
            </w:hyperlink>
            <w:r w:rsidRPr="0025785A">
              <w:rPr>
                <w:sz w:val="18"/>
                <w:szCs w:val="18"/>
              </w:rPr>
              <w:t xml:space="preserve">. Due to the nature of J.P. Morgan Securities plc’s business, it owed Best Execution in limited circumstances for </w:t>
            </w:r>
            <w:r>
              <w:rPr>
                <w:sz w:val="18"/>
                <w:szCs w:val="18"/>
              </w:rPr>
              <w:t>Securitized</w:t>
            </w:r>
            <w:r w:rsidRPr="0025785A">
              <w:rPr>
                <w:sz w:val="18"/>
                <w:szCs w:val="18"/>
              </w:rPr>
              <w:t xml:space="preserve"> </w:t>
            </w:r>
            <w:r>
              <w:rPr>
                <w:sz w:val="18"/>
                <w:szCs w:val="18"/>
              </w:rPr>
              <w:t>D</w:t>
            </w:r>
            <w:r w:rsidRPr="0025785A">
              <w:rPr>
                <w:sz w:val="18"/>
                <w:szCs w:val="18"/>
              </w:rPr>
              <w:t>erivatives.</w:t>
            </w:r>
          </w:p>
          <w:p w14:paraId="2A776636" w14:textId="10792295" w:rsidR="00C37120" w:rsidRPr="002300EB" w:rsidRDefault="00C37120" w:rsidP="000E3A78">
            <w:pPr>
              <w:spacing w:after="120"/>
              <w:jc w:val="both"/>
              <w:rPr>
                <w:sz w:val="18"/>
                <w:szCs w:val="18"/>
              </w:rPr>
            </w:pPr>
            <w:r w:rsidRPr="00C37120">
              <w:rPr>
                <w:sz w:val="18"/>
                <w:szCs w:val="18"/>
              </w:rPr>
              <w:t xml:space="preserve">J.P. Morgan Securities plc has implemented procedures in order to, on a regular basis, monitor the application of Best Execution to Securitized Derivatives through post-trade controls performed independently by control-related functions. This monitoring identifies execution situations which are potentially subject to Best Execution as well as the correct application of the </w:t>
            </w:r>
            <w:hyperlink r:id="rId30" w:history="1">
              <w:r w:rsidRPr="0025785A">
                <w:rPr>
                  <w:rStyle w:val="Hyperlink"/>
                  <w:sz w:val="18"/>
                  <w:szCs w:val="18"/>
                </w:rPr>
                <w:t>J.P. Morgan Execution Policy</w:t>
              </w:r>
            </w:hyperlink>
            <w:r w:rsidRPr="00C37120">
              <w:rPr>
                <w:sz w:val="18"/>
                <w:szCs w:val="18"/>
              </w:rPr>
              <w:t xml:space="preserve">. </w:t>
            </w:r>
            <w:r>
              <w:rPr>
                <w:sz w:val="18"/>
                <w:szCs w:val="18"/>
              </w:rPr>
              <w:t xml:space="preserve"> </w:t>
            </w:r>
            <w:r w:rsidRPr="00C37120">
              <w:rPr>
                <w:sz w:val="18"/>
                <w:szCs w:val="18"/>
              </w:rPr>
              <w:t>J.P. Morgan Securities plc verified by means of these monitoring measures that its execution arrangements worked well throughout the different stages of the execution process.</w:t>
            </w:r>
          </w:p>
        </w:tc>
      </w:tr>
      <w:tr w:rsidR="00C37120" w:rsidRPr="002300EB" w14:paraId="44622A95" w14:textId="77777777" w:rsidTr="000E3A78">
        <w:tc>
          <w:tcPr>
            <w:tcW w:w="4410" w:type="dxa"/>
            <w:tcBorders>
              <w:left w:val="single" w:sz="12" w:space="0" w:color="auto"/>
            </w:tcBorders>
            <w:shd w:val="clear" w:color="auto" w:fill="D9D9D9" w:themeFill="background1" w:themeFillShade="D9"/>
          </w:tcPr>
          <w:p w14:paraId="2450CB67" w14:textId="77777777" w:rsidR="00C37120" w:rsidRPr="002300EB" w:rsidRDefault="00C37120" w:rsidP="000E3A78">
            <w:pPr>
              <w:rPr>
                <w:sz w:val="18"/>
                <w:szCs w:val="18"/>
              </w:rPr>
            </w:pPr>
            <w:r w:rsidRPr="002300EB">
              <w:rPr>
                <w:sz w:val="18"/>
                <w:szCs w:val="18"/>
              </w:rPr>
              <w:t>Relative importance given to execution factors &amp; other considerations</w:t>
            </w:r>
          </w:p>
        </w:tc>
        <w:tc>
          <w:tcPr>
            <w:tcW w:w="9990" w:type="dxa"/>
            <w:tcBorders>
              <w:right w:val="single" w:sz="12" w:space="0" w:color="auto"/>
            </w:tcBorders>
          </w:tcPr>
          <w:p w14:paraId="4A9800C4" w14:textId="7DD54A08" w:rsidR="00C37120" w:rsidRPr="0025785A" w:rsidRDefault="00C37120" w:rsidP="000E3A78">
            <w:pPr>
              <w:spacing w:after="120"/>
              <w:jc w:val="both"/>
              <w:rPr>
                <w:sz w:val="18"/>
                <w:szCs w:val="18"/>
              </w:rPr>
            </w:pPr>
            <w:r w:rsidRPr="00C37120">
              <w:rPr>
                <w:sz w:val="18"/>
                <w:szCs w:val="18"/>
              </w:rPr>
              <w:t xml:space="preserve">The relative importance given to execution factors and other considerations when J.P. Morgan Securities plc owes Best Execution is set out under the </w:t>
            </w:r>
            <w:proofErr w:type="spellStart"/>
            <w:r w:rsidRPr="0025785A">
              <w:rPr>
                <w:sz w:val="18"/>
                <w:szCs w:val="18"/>
              </w:rPr>
              <w:t>the</w:t>
            </w:r>
            <w:proofErr w:type="spellEnd"/>
            <w:r w:rsidRPr="0025785A">
              <w:rPr>
                <w:sz w:val="18"/>
                <w:szCs w:val="18"/>
              </w:rPr>
              <w:t xml:space="preserve"> Relevant Structured Products section of </w:t>
            </w:r>
            <w:hyperlink r:id="rId31" w:history="1">
              <w:r w:rsidRPr="0025785A">
                <w:rPr>
                  <w:rStyle w:val="Hyperlink"/>
                  <w:sz w:val="18"/>
                  <w:szCs w:val="18"/>
                </w:rPr>
                <w:t xml:space="preserve">Appendix 5 </w:t>
              </w:r>
            </w:hyperlink>
            <w:r w:rsidRPr="0025785A">
              <w:rPr>
                <w:sz w:val="18"/>
                <w:szCs w:val="18"/>
              </w:rPr>
              <w:t xml:space="preserve">to the </w:t>
            </w:r>
            <w:hyperlink r:id="rId32" w:history="1">
              <w:r w:rsidRPr="0025785A">
                <w:rPr>
                  <w:rStyle w:val="Hyperlink"/>
                  <w:sz w:val="18"/>
                  <w:szCs w:val="18"/>
                </w:rPr>
                <w:t>J.P. Morgan Execution Policy</w:t>
              </w:r>
            </w:hyperlink>
            <w:r w:rsidRPr="0025785A">
              <w:rPr>
                <w:sz w:val="18"/>
                <w:szCs w:val="18"/>
              </w:rPr>
              <w:t xml:space="preserve">. </w:t>
            </w:r>
          </w:p>
        </w:tc>
      </w:tr>
      <w:tr w:rsidR="00C37120" w:rsidRPr="002300EB" w14:paraId="743179AE" w14:textId="77777777" w:rsidTr="000E3A78">
        <w:tc>
          <w:tcPr>
            <w:tcW w:w="4410" w:type="dxa"/>
            <w:tcBorders>
              <w:left w:val="single" w:sz="12" w:space="0" w:color="auto"/>
            </w:tcBorders>
            <w:shd w:val="clear" w:color="auto" w:fill="D9D9D9" w:themeFill="background1" w:themeFillShade="D9"/>
          </w:tcPr>
          <w:p w14:paraId="050865A2" w14:textId="77777777" w:rsidR="00C37120" w:rsidRPr="002300EB" w:rsidRDefault="00C37120" w:rsidP="000E3A78">
            <w:pPr>
              <w:rPr>
                <w:sz w:val="18"/>
                <w:szCs w:val="18"/>
              </w:rPr>
            </w:pPr>
            <w:r w:rsidRPr="002300EB">
              <w:rPr>
                <w:sz w:val="18"/>
                <w:szCs w:val="18"/>
              </w:rPr>
              <w:t>Execution venue close links / conflicts of interest / common ownerships</w:t>
            </w:r>
          </w:p>
        </w:tc>
        <w:tc>
          <w:tcPr>
            <w:tcW w:w="9990" w:type="dxa"/>
            <w:tcBorders>
              <w:right w:val="single" w:sz="12" w:space="0" w:color="auto"/>
            </w:tcBorders>
          </w:tcPr>
          <w:p w14:paraId="2E2FA09D" w14:textId="77777777" w:rsidR="00C37120" w:rsidRPr="002300EB" w:rsidRDefault="00C37120" w:rsidP="000E3A78">
            <w:pPr>
              <w:rPr>
                <w:sz w:val="18"/>
                <w:szCs w:val="18"/>
              </w:rPr>
            </w:pPr>
            <w:r w:rsidRPr="002300EB">
              <w:rPr>
                <w:sz w:val="18"/>
                <w:szCs w:val="18"/>
              </w:rPr>
              <w:t>J.P. Morgan Securities plc is a fully owned subsidiary of JPMorgan Chase &amp; Co.</w:t>
            </w:r>
          </w:p>
        </w:tc>
      </w:tr>
      <w:tr w:rsidR="00C37120" w:rsidRPr="002300EB" w14:paraId="43DB6C40" w14:textId="77777777" w:rsidTr="000E3A78">
        <w:tc>
          <w:tcPr>
            <w:tcW w:w="4410" w:type="dxa"/>
            <w:tcBorders>
              <w:left w:val="single" w:sz="12" w:space="0" w:color="auto"/>
            </w:tcBorders>
            <w:shd w:val="clear" w:color="auto" w:fill="D9D9D9" w:themeFill="background1" w:themeFillShade="D9"/>
          </w:tcPr>
          <w:p w14:paraId="2915EF77" w14:textId="77777777" w:rsidR="00C37120" w:rsidRPr="002300EB" w:rsidRDefault="00C37120" w:rsidP="000E3A78">
            <w:pPr>
              <w:rPr>
                <w:sz w:val="18"/>
                <w:szCs w:val="18"/>
              </w:rPr>
            </w:pPr>
            <w:r w:rsidRPr="002300EB">
              <w:rPr>
                <w:sz w:val="18"/>
                <w:szCs w:val="18"/>
              </w:rPr>
              <w:t>Specific execution venue arrangements</w:t>
            </w:r>
          </w:p>
        </w:tc>
        <w:tc>
          <w:tcPr>
            <w:tcW w:w="9990" w:type="dxa"/>
            <w:tcBorders>
              <w:right w:val="single" w:sz="12" w:space="0" w:color="auto"/>
            </w:tcBorders>
          </w:tcPr>
          <w:p w14:paraId="49906765" w14:textId="77777777" w:rsidR="00C37120" w:rsidRPr="002300EB" w:rsidRDefault="00C37120" w:rsidP="000E3A78">
            <w:pPr>
              <w:rPr>
                <w:sz w:val="18"/>
                <w:szCs w:val="18"/>
              </w:rPr>
            </w:pPr>
            <w:r w:rsidRPr="002300EB">
              <w:rPr>
                <w:sz w:val="18"/>
                <w:szCs w:val="18"/>
              </w:rPr>
              <w:t xml:space="preserve">J.P. Morgan Securities plc is the sole execution venue. </w:t>
            </w:r>
          </w:p>
        </w:tc>
      </w:tr>
      <w:tr w:rsidR="00C37120" w:rsidRPr="002300EB" w14:paraId="17383E09" w14:textId="77777777" w:rsidTr="000E3A78">
        <w:trPr>
          <w:trHeight w:val="368"/>
        </w:trPr>
        <w:tc>
          <w:tcPr>
            <w:tcW w:w="4410" w:type="dxa"/>
            <w:tcBorders>
              <w:left w:val="single" w:sz="12" w:space="0" w:color="auto"/>
            </w:tcBorders>
            <w:shd w:val="clear" w:color="auto" w:fill="D9D9D9" w:themeFill="background1" w:themeFillShade="D9"/>
          </w:tcPr>
          <w:p w14:paraId="53D4B5EE" w14:textId="77777777" w:rsidR="00C37120" w:rsidRPr="002300EB" w:rsidRDefault="00C37120" w:rsidP="000E3A78">
            <w:pPr>
              <w:rPr>
                <w:sz w:val="18"/>
                <w:szCs w:val="18"/>
              </w:rPr>
            </w:pPr>
            <w:r w:rsidRPr="002300EB">
              <w:rPr>
                <w:sz w:val="18"/>
                <w:szCs w:val="18"/>
              </w:rPr>
              <w:t>Changes to execution venues</w:t>
            </w:r>
          </w:p>
        </w:tc>
        <w:tc>
          <w:tcPr>
            <w:tcW w:w="9990" w:type="dxa"/>
            <w:tcBorders>
              <w:right w:val="single" w:sz="12" w:space="0" w:color="auto"/>
            </w:tcBorders>
          </w:tcPr>
          <w:p w14:paraId="22544DC5" w14:textId="77777777" w:rsidR="00C37120" w:rsidRPr="002300EB" w:rsidRDefault="00C37120" w:rsidP="000E3A78">
            <w:pPr>
              <w:spacing w:after="120"/>
              <w:rPr>
                <w:sz w:val="18"/>
                <w:szCs w:val="18"/>
              </w:rPr>
            </w:pPr>
            <w:r w:rsidRPr="002300EB">
              <w:rPr>
                <w:sz w:val="18"/>
                <w:szCs w:val="18"/>
              </w:rPr>
              <w:t>Not Applicable</w:t>
            </w:r>
          </w:p>
        </w:tc>
      </w:tr>
      <w:tr w:rsidR="00C37120" w:rsidRPr="002300EB" w14:paraId="0421EE43" w14:textId="77777777" w:rsidTr="000E3A78">
        <w:tc>
          <w:tcPr>
            <w:tcW w:w="4410" w:type="dxa"/>
            <w:tcBorders>
              <w:left w:val="single" w:sz="12" w:space="0" w:color="auto"/>
            </w:tcBorders>
            <w:shd w:val="clear" w:color="auto" w:fill="D9D9D9" w:themeFill="background1" w:themeFillShade="D9"/>
          </w:tcPr>
          <w:p w14:paraId="63B08CF9" w14:textId="77777777" w:rsidR="00C37120" w:rsidRPr="002300EB" w:rsidRDefault="00C37120" w:rsidP="000E3A78">
            <w:pPr>
              <w:rPr>
                <w:sz w:val="18"/>
                <w:szCs w:val="18"/>
              </w:rPr>
            </w:pPr>
            <w:r w:rsidRPr="002300EB">
              <w:rPr>
                <w:sz w:val="18"/>
                <w:szCs w:val="18"/>
              </w:rPr>
              <w:t>Client distinctions</w:t>
            </w:r>
          </w:p>
        </w:tc>
        <w:tc>
          <w:tcPr>
            <w:tcW w:w="9990" w:type="dxa"/>
            <w:tcBorders>
              <w:right w:val="single" w:sz="12" w:space="0" w:color="auto"/>
            </w:tcBorders>
          </w:tcPr>
          <w:p w14:paraId="071D2505" w14:textId="77777777" w:rsidR="00C37120" w:rsidRPr="002300EB" w:rsidRDefault="00C37120" w:rsidP="000E3A78">
            <w:pPr>
              <w:spacing w:after="120"/>
              <w:rPr>
                <w:sz w:val="18"/>
                <w:szCs w:val="18"/>
              </w:rPr>
            </w:pPr>
            <w:r w:rsidRPr="002300EB">
              <w:rPr>
                <w:sz w:val="18"/>
                <w:szCs w:val="18"/>
              </w:rPr>
              <w:t xml:space="preserve">J.P. Morgan Securities plc only deals with Professional clients for the purposes of Best Execution.  </w:t>
            </w:r>
          </w:p>
        </w:tc>
      </w:tr>
      <w:tr w:rsidR="00C37120" w:rsidRPr="002300EB" w14:paraId="49A7F408" w14:textId="77777777" w:rsidTr="000E3A78">
        <w:trPr>
          <w:trHeight w:val="70"/>
        </w:trPr>
        <w:tc>
          <w:tcPr>
            <w:tcW w:w="4410" w:type="dxa"/>
            <w:tcBorders>
              <w:left w:val="single" w:sz="12" w:space="0" w:color="auto"/>
            </w:tcBorders>
            <w:shd w:val="clear" w:color="auto" w:fill="D9D9D9" w:themeFill="background1" w:themeFillShade="D9"/>
          </w:tcPr>
          <w:p w14:paraId="24BE31B8" w14:textId="77777777" w:rsidR="00C37120" w:rsidRPr="002300EB" w:rsidRDefault="00C37120" w:rsidP="000E3A78">
            <w:pPr>
              <w:rPr>
                <w:sz w:val="18"/>
                <w:szCs w:val="18"/>
              </w:rPr>
            </w:pPr>
            <w:r w:rsidRPr="002300EB">
              <w:rPr>
                <w:sz w:val="18"/>
                <w:szCs w:val="18"/>
              </w:rPr>
              <w:t>Use of data/tools relating to the quality of execution</w:t>
            </w:r>
          </w:p>
        </w:tc>
        <w:tc>
          <w:tcPr>
            <w:tcW w:w="9990" w:type="dxa"/>
            <w:tcBorders>
              <w:right w:val="single" w:sz="12" w:space="0" w:color="auto"/>
            </w:tcBorders>
          </w:tcPr>
          <w:p w14:paraId="2F862E38" w14:textId="42CF393A" w:rsidR="00C37120" w:rsidRPr="002300EB" w:rsidRDefault="00C37120" w:rsidP="000E3A78">
            <w:pPr>
              <w:spacing w:after="120"/>
              <w:rPr>
                <w:sz w:val="18"/>
                <w:szCs w:val="18"/>
              </w:rPr>
            </w:pPr>
            <w:r w:rsidRPr="00C37120">
              <w:rPr>
                <w:sz w:val="18"/>
                <w:szCs w:val="18"/>
              </w:rPr>
              <w:t>J.P. Morgan Securities plc assessed the fairness of pricing of transactions subject to Best Execution by reviewing relevant pricing considerations and available market data in respect of the time of execution.</w:t>
            </w:r>
          </w:p>
        </w:tc>
      </w:tr>
      <w:tr w:rsidR="00C37120" w:rsidRPr="002300EB" w14:paraId="6D5E181C" w14:textId="77777777" w:rsidTr="000E3A78">
        <w:tc>
          <w:tcPr>
            <w:tcW w:w="4410" w:type="dxa"/>
            <w:tcBorders>
              <w:left w:val="single" w:sz="12" w:space="0" w:color="auto"/>
              <w:bottom w:val="single" w:sz="12" w:space="0" w:color="auto"/>
            </w:tcBorders>
            <w:shd w:val="clear" w:color="auto" w:fill="D9D9D9" w:themeFill="background1" w:themeFillShade="D9"/>
          </w:tcPr>
          <w:p w14:paraId="4B49C101" w14:textId="77777777" w:rsidR="00C37120" w:rsidRPr="002300EB" w:rsidRDefault="00C37120" w:rsidP="000E3A78">
            <w:pPr>
              <w:rPr>
                <w:sz w:val="18"/>
                <w:szCs w:val="18"/>
              </w:rPr>
            </w:pPr>
            <w:r w:rsidRPr="002300EB">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677E24FE" w14:textId="77777777" w:rsidR="00C37120" w:rsidRPr="002300EB" w:rsidRDefault="00C37120" w:rsidP="000E3A78">
            <w:pPr>
              <w:spacing w:after="120"/>
              <w:rPr>
                <w:sz w:val="18"/>
                <w:szCs w:val="18"/>
              </w:rPr>
            </w:pPr>
            <w:r w:rsidRPr="002300EB">
              <w:rPr>
                <w:sz w:val="18"/>
                <w:szCs w:val="18"/>
              </w:rPr>
              <w:t>Not Applicable</w:t>
            </w:r>
          </w:p>
        </w:tc>
      </w:tr>
    </w:tbl>
    <w:p w14:paraId="70A84B59" w14:textId="22D3459B" w:rsidR="00C37120" w:rsidRDefault="00C37120" w:rsidP="000B7F7D">
      <w:pPr>
        <w:rPr>
          <w:color w:val="FF0000"/>
          <w:sz w:val="18"/>
          <w:szCs w:val="18"/>
        </w:rPr>
      </w:pPr>
    </w:p>
    <w:p w14:paraId="1E22157D" w14:textId="1C9F2F82" w:rsidR="00C37120" w:rsidRDefault="00C37120" w:rsidP="000B7F7D">
      <w:pPr>
        <w:rPr>
          <w:color w:val="FF0000"/>
          <w:sz w:val="18"/>
          <w:szCs w:val="18"/>
        </w:rPr>
      </w:pPr>
    </w:p>
    <w:p w14:paraId="21EE5290" w14:textId="4EE22AF7" w:rsidR="00C37120" w:rsidRDefault="00C37120" w:rsidP="000B7F7D">
      <w:pPr>
        <w:rPr>
          <w:color w:val="FF0000"/>
          <w:sz w:val="18"/>
          <w:szCs w:val="18"/>
        </w:rPr>
      </w:pPr>
    </w:p>
    <w:p w14:paraId="5597189A" w14:textId="2097A1BE" w:rsidR="00C37120" w:rsidRDefault="00C37120" w:rsidP="000B7F7D">
      <w:pPr>
        <w:rPr>
          <w:color w:val="FF0000"/>
          <w:sz w:val="18"/>
          <w:szCs w:val="18"/>
        </w:rPr>
      </w:pPr>
    </w:p>
    <w:p w14:paraId="7424A8AC" w14:textId="3D67C698" w:rsidR="00C37120" w:rsidRDefault="00C37120" w:rsidP="000B7F7D">
      <w:pPr>
        <w:rPr>
          <w:color w:val="FF0000"/>
          <w:sz w:val="18"/>
          <w:szCs w:val="18"/>
        </w:rPr>
      </w:pPr>
    </w:p>
    <w:p w14:paraId="513A95A7" w14:textId="4F8BF8BD" w:rsidR="00C37120" w:rsidRDefault="00C37120" w:rsidP="000B7F7D">
      <w:pPr>
        <w:rPr>
          <w:color w:val="FF0000"/>
          <w:sz w:val="18"/>
          <w:szCs w:val="18"/>
        </w:rPr>
      </w:pPr>
    </w:p>
    <w:p w14:paraId="47D25908" w14:textId="6BAE50BC" w:rsidR="00C37120" w:rsidRDefault="00C37120" w:rsidP="000B7F7D">
      <w:pPr>
        <w:rPr>
          <w:color w:val="FF0000"/>
          <w:sz w:val="18"/>
          <w:szCs w:val="18"/>
        </w:rPr>
      </w:pPr>
    </w:p>
    <w:p w14:paraId="195C2B6B" w14:textId="7FFA69BB" w:rsidR="00C37120" w:rsidRDefault="00C37120" w:rsidP="000B7F7D">
      <w:pPr>
        <w:rPr>
          <w:color w:val="FF0000"/>
          <w:sz w:val="18"/>
          <w:szCs w:val="18"/>
        </w:rPr>
      </w:pPr>
    </w:p>
    <w:p w14:paraId="44B71E2C" w14:textId="400D65E9" w:rsidR="00C37120" w:rsidRDefault="00C37120" w:rsidP="000B7F7D">
      <w:pPr>
        <w:rPr>
          <w:color w:val="FF0000"/>
          <w:sz w:val="18"/>
          <w:szCs w:val="18"/>
        </w:rPr>
      </w:pPr>
    </w:p>
    <w:tbl>
      <w:tblPr>
        <w:tblStyle w:val="TableGrid"/>
        <w:tblW w:w="14400" w:type="dxa"/>
        <w:tblInd w:w="468" w:type="dxa"/>
        <w:tblLook w:val="04A0" w:firstRow="1" w:lastRow="0" w:firstColumn="1" w:lastColumn="0" w:noHBand="0" w:noVBand="1"/>
      </w:tblPr>
      <w:tblGrid>
        <w:gridCol w:w="4410"/>
        <w:gridCol w:w="9990"/>
      </w:tblGrid>
      <w:tr w:rsidR="0071029D" w:rsidRPr="0071029D" w14:paraId="5ADF8B25" w14:textId="77777777" w:rsidTr="000E3A78">
        <w:tc>
          <w:tcPr>
            <w:tcW w:w="4410" w:type="dxa"/>
            <w:tcBorders>
              <w:top w:val="single" w:sz="12" w:space="0" w:color="auto"/>
              <w:left w:val="single" w:sz="12" w:space="0" w:color="auto"/>
              <w:bottom w:val="single" w:sz="12" w:space="0" w:color="auto"/>
              <w:right w:val="single" w:sz="4" w:space="0" w:color="auto"/>
            </w:tcBorders>
            <w:shd w:val="clear" w:color="auto" w:fill="D9D9D9"/>
          </w:tcPr>
          <w:p w14:paraId="13D45D93" w14:textId="77777777" w:rsidR="0071029D" w:rsidRPr="0071029D" w:rsidRDefault="0071029D" w:rsidP="0071029D">
            <w:pPr>
              <w:rPr>
                <w:rFonts w:ascii="Calibri" w:eastAsia="Calibri" w:hAnsi="Calibri" w:cs="Times New Roman"/>
                <w:sz w:val="18"/>
                <w:szCs w:val="18"/>
              </w:rPr>
            </w:pPr>
            <w:r w:rsidRPr="0071029D">
              <w:rPr>
                <w:rFonts w:ascii="Calibri" w:eastAsia="Calibri" w:hAnsi="Calibri" w:cs="Times New Roman"/>
                <w:sz w:val="18"/>
                <w:szCs w:val="18"/>
              </w:rPr>
              <w:t xml:space="preserve">Legal Entity </w:t>
            </w:r>
          </w:p>
        </w:tc>
        <w:tc>
          <w:tcPr>
            <w:tcW w:w="9990" w:type="dxa"/>
            <w:tcBorders>
              <w:top w:val="single" w:sz="12" w:space="0" w:color="auto"/>
              <w:left w:val="single" w:sz="4" w:space="0" w:color="auto"/>
              <w:bottom w:val="single" w:sz="12" w:space="0" w:color="auto"/>
              <w:right w:val="single" w:sz="12" w:space="0" w:color="auto"/>
            </w:tcBorders>
          </w:tcPr>
          <w:p w14:paraId="55167DA8" w14:textId="77777777" w:rsidR="0071029D" w:rsidRPr="0071029D" w:rsidRDefault="0071029D" w:rsidP="0071029D">
            <w:pPr>
              <w:rPr>
                <w:rFonts w:ascii="Calibri" w:eastAsia="Calibri" w:hAnsi="Calibri" w:cs="Times New Roman"/>
                <w:sz w:val="18"/>
                <w:szCs w:val="18"/>
              </w:rPr>
            </w:pPr>
            <w:r w:rsidRPr="0071029D">
              <w:rPr>
                <w:rFonts w:ascii="Calibri" w:eastAsia="Calibri" w:hAnsi="Calibri" w:cs="Times New Roman"/>
                <w:sz w:val="18"/>
                <w:szCs w:val="18"/>
              </w:rPr>
              <w:t>J.P. Morgan Securities plc (K6Q0W1PS1L1O4IQL9C32)</w:t>
            </w:r>
          </w:p>
        </w:tc>
      </w:tr>
      <w:tr w:rsidR="0071029D" w:rsidRPr="0071029D" w14:paraId="2E576C66" w14:textId="77777777" w:rsidTr="000E3A78">
        <w:tc>
          <w:tcPr>
            <w:tcW w:w="4410" w:type="dxa"/>
            <w:tcBorders>
              <w:top w:val="single" w:sz="12" w:space="0" w:color="auto"/>
              <w:left w:val="single" w:sz="12" w:space="0" w:color="auto"/>
              <w:bottom w:val="single" w:sz="12" w:space="0" w:color="auto"/>
              <w:right w:val="single" w:sz="4" w:space="0" w:color="auto"/>
            </w:tcBorders>
            <w:shd w:val="clear" w:color="auto" w:fill="D9D9D9"/>
          </w:tcPr>
          <w:p w14:paraId="4CE9E09C" w14:textId="77777777" w:rsidR="0071029D" w:rsidRPr="0071029D" w:rsidRDefault="0071029D" w:rsidP="0071029D">
            <w:pPr>
              <w:rPr>
                <w:rFonts w:ascii="Calibri" w:eastAsia="Calibri" w:hAnsi="Calibri" w:cs="Times New Roman"/>
                <w:sz w:val="18"/>
                <w:szCs w:val="18"/>
              </w:rPr>
            </w:pPr>
            <w:r w:rsidRPr="0071029D">
              <w:rPr>
                <w:rFonts w:ascii="Calibri" w:eastAsia="Calibri" w:hAnsi="Calibri" w:cs="Times New Roman"/>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435A962A" w14:textId="77777777" w:rsidR="0071029D" w:rsidRPr="00DF10A5" w:rsidRDefault="0071029D" w:rsidP="0071029D">
            <w:pPr>
              <w:rPr>
                <w:rFonts w:ascii="Calibri" w:eastAsia="Calibri" w:hAnsi="Calibri" w:cs="Times New Roman"/>
                <w:sz w:val="18"/>
                <w:szCs w:val="18"/>
              </w:rPr>
            </w:pPr>
            <w:r w:rsidRPr="00DF10A5">
              <w:rPr>
                <w:rFonts w:ascii="Calibri" w:eastAsia="Calibri" w:hAnsi="Calibri" w:cs="Times New Roman"/>
                <w:sz w:val="18"/>
                <w:szCs w:val="18"/>
              </w:rPr>
              <w:t xml:space="preserve">Equities – Shares &amp; Depositary Receipts </w:t>
            </w:r>
          </w:p>
          <w:p w14:paraId="053FACC4" w14:textId="63C25609" w:rsidR="0071029D" w:rsidRPr="0071029D" w:rsidRDefault="0071029D" w:rsidP="0071029D">
            <w:pPr>
              <w:rPr>
                <w:rFonts w:ascii="Calibri" w:eastAsia="Calibri" w:hAnsi="Calibri" w:cs="Times New Roman"/>
                <w:sz w:val="18"/>
                <w:szCs w:val="18"/>
              </w:rPr>
            </w:pPr>
            <w:r w:rsidRPr="00DF10A5">
              <w:rPr>
                <w:rFonts w:ascii="Calibri" w:eastAsia="Calibri" w:hAnsi="Calibri" w:cs="Times New Roman"/>
                <w:sz w:val="18"/>
                <w:szCs w:val="18"/>
              </w:rPr>
              <w:t xml:space="preserve">Exchange </w:t>
            </w:r>
            <w:r w:rsidR="00DF10A5" w:rsidRPr="00DF10A5">
              <w:rPr>
                <w:rFonts w:ascii="Calibri" w:eastAsia="Calibri" w:hAnsi="Calibri" w:cs="Times New Roman"/>
                <w:sz w:val="18"/>
                <w:szCs w:val="18"/>
              </w:rPr>
              <w:t>t</w:t>
            </w:r>
            <w:r w:rsidRPr="00DF10A5">
              <w:rPr>
                <w:rFonts w:ascii="Calibri" w:eastAsia="Calibri" w:hAnsi="Calibri" w:cs="Times New Roman"/>
                <w:sz w:val="18"/>
                <w:szCs w:val="18"/>
              </w:rPr>
              <w:t xml:space="preserve">raded </w:t>
            </w:r>
            <w:r w:rsidR="00DF10A5" w:rsidRPr="00DF10A5">
              <w:rPr>
                <w:rFonts w:ascii="Calibri" w:eastAsia="Calibri" w:hAnsi="Calibri" w:cs="Times New Roman"/>
                <w:sz w:val="18"/>
                <w:szCs w:val="18"/>
              </w:rPr>
              <w:t>p</w:t>
            </w:r>
            <w:r w:rsidRPr="00DF10A5">
              <w:rPr>
                <w:rFonts w:ascii="Calibri" w:eastAsia="Calibri" w:hAnsi="Calibri" w:cs="Times New Roman"/>
                <w:sz w:val="18"/>
                <w:szCs w:val="18"/>
              </w:rPr>
              <w:t xml:space="preserve">roducts (Exchange </w:t>
            </w:r>
            <w:r w:rsidR="00DF10A5" w:rsidRPr="00DF10A5">
              <w:rPr>
                <w:rFonts w:ascii="Calibri" w:eastAsia="Calibri" w:hAnsi="Calibri" w:cs="Times New Roman"/>
                <w:sz w:val="18"/>
                <w:szCs w:val="18"/>
              </w:rPr>
              <w:t>t</w:t>
            </w:r>
            <w:r w:rsidRPr="00DF10A5">
              <w:rPr>
                <w:rFonts w:ascii="Calibri" w:eastAsia="Calibri" w:hAnsi="Calibri" w:cs="Times New Roman"/>
                <w:sz w:val="18"/>
                <w:szCs w:val="18"/>
              </w:rPr>
              <w:t xml:space="preserve">raded </w:t>
            </w:r>
            <w:r w:rsidR="00DF10A5" w:rsidRPr="00DF10A5">
              <w:rPr>
                <w:rFonts w:ascii="Calibri" w:eastAsia="Calibri" w:hAnsi="Calibri" w:cs="Times New Roman"/>
                <w:sz w:val="18"/>
                <w:szCs w:val="18"/>
              </w:rPr>
              <w:t>f</w:t>
            </w:r>
            <w:r w:rsidRPr="00DF10A5">
              <w:rPr>
                <w:rFonts w:ascii="Calibri" w:eastAsia="Calibri" w:hAnsi="Calibri" w:cs="Times New Roman"/>
                <w:sz w:val="18"/>
                <w:szCs w:val="18"/>
              </w:rPr>
              <w:t xml:space="preserve">unds, </w:t>
            </w:r>
            <w:r w:rsidR="00DF10A5" w:rsidRPr="00DF10A5">
              <w:rPr>
                <w:rFonts w:ascii="Calibri" w:eastAsia="Calibri" w:hAnsi="Calibri" w:cs="Times New Roman"/>
                <w:sz w:val="18"/>
                <w:szCs w:val="18"/>
              </w:rPr>
              <w:t>e</w:t>
            </w:r>
            <w:r w:rsidRPr="00DF10A5">
              <w:rPr>
                <w:rFonts w:ascii="Calibri" w:eastAsia="Calibri" w:hAnsi="Calibri" w:cs="Times New Roman"/>
                <w:sz w:val="18"/>
                <w:szCs w:val="18"/>
              </w:rPr>
              <w:t xml:space="preserve">xchange </w:t>
            </w:r>
            <w:r w:rsidR="00DF10A5" w:rsidRPr="00DF10A5">
              <w:rPr>
                <w:rFonts w:ascii="Calibri" w:eastAsia="Calibri" w:hAnsi="Calibri" w:cs="Times New Roman"/>
                <w:sz w:val="18"/>
                <w:szCs w:val="18"/>
              </w:rPr>
              <w:t>t</w:t>
            </w:r>
            <w:r w:rsidRPr="00DF10A5">
              <w:rPr>
                <w:rFonts w:ascii="Calibri" w:eastAsia="Calibri" w:hAnsi="Calibri" w:cs="Times New Roman"/>
                <w:sz w:val="18"/>
                <w:szCs w:val="18"/>
              </w:rPr>
              <w:t xml:space="preserve">raded </w:t>
            </w:r>
            <w:r w:rsidR="00DF10A5" w:rsidRPr="00DF10A5">
              <w:rPr>
                <w:rFonts w:ascii="Calibri" w:eastAsia="Calibri" w:hAnsi="Calibri" w:cs="Times New Roman"/>
                <w:sz w:val="18"/>
                <w:szCs w:val="18"/>
              </w:rPr>
              <w:t>n</w:t>
            </w:r>
            <w:r w:rsidRPr="00DF10A5">
              <w:rPr>
                <w:rFonts w:ascii="Calibri" w:eastAsia="Calibri" w:hAnsi="Calibri" w:cs="Times New Roman"/>
                <w:sz w:val="18"/>
                <w:szCs w:val="18"/>
              </w:rPr>
              <w:t xml:space="preserve">otes and </w:t>
            </w:r>
            <w:r w:rsidR="00DF10A5" w:rsidRPr="00DF10A5">
              <w:rPr>
                <w:rFonts w:ascii="Calibri" w:eastAsia="Calibri" w:hAnsi="Calibri" w:cs="Times New Roman"/>
                <w:sz w:val="18"/>
                <w:szCs w:val="18"/>
              </w:rPr>
              <w:t>e</w:t>
            </w:r>
            <w:r w:rsidRPr="00DF10A5">
              <w:rPr>
                <w:rFonts w:ascii="Calibri" w:eastAsia="Calibri" w:hAnsi="Calibri" w:cs="Times New Roman"/>
                <w:sz w:val="18"/>
                <w:szCs w:val="18"/>
              </w:rPr>
              <w:t xml:space="preserve">xchange </w:t>
            </w:r>
            <w:r w:rsidR="00DF10A5" w:rsidRPr="00DF10A5">
              <w:rPr>
                <w:rFonts w:ascii="Calibri" w:eastAsia="Calibri" w:hAnsi="Calibri" w:cs="Times New Roman"/>
                <w:sz w:val="18"/>
                <w:szCs w:val="18"/>
              </w:rPr>
              <w:t>t</w:t>
            </w:r>
            <w:r w:rsidRPr="00DF10A5">
              <w:rPr>
                <w:rFonts w:ascii="Calibri" w:eastAsia="Calibri" w:hAnsi="Calibri" w:cs="Times New Roman"/>
                <w:sz w:val="18"/>
                <w:szCs w:val="18"/>
              </w:rPr>
              <w:t xml:space="preserve">raded </w:t>
            </w:r>
            <w:r w:rsidR="00DF10A5" w:rsidRPr="00DF10A5">
              <w:rPr>
                <w:rFonts w:ascii="Calibri" w:eastAsia="Calibri" w:hAnsi="Calibri" w:cs="Times New Roman"/>
                <w:sz w:val="18"/>
                <w:szCs w:val="18"/>
              </w:rPr>
              <w:t>c</w:t>
            </w:r>
            <w:r w:rsidRPr="00DF10A5">
              <w:rPr>
                <w:rFonts w:ascii="Calibri" w:eastAsia="Calibri" w:hAnsi="Calibri" w:cs="Times New Roman"/>
                <w:sz w:val="18"/>
                <w:szCs w:val="18"/>
              </w:rPr>
              <w:t>ommodities)</w:t>
            </w:r>
            <w:r w:rsidRPr="0071029D">
              <w:rPr>
                <w:rFonts w:ascii="Calibri" w:eastAsia="Calibri" w:hAnsi="Calibri" w:cs="Times New Roman"/>
                <w:sz w:val="18"/>
                <w:szCs w:val="18"/>
              </w:rPr>
              <w:t xml:space="preserve"> </w:t>
            </w:r>
          </w:p>
          <w:p w14:paraId="76D39711" w14:textId="06349EEE" w:rsidR="0071029D" w:rsidRPr="0071029D" w:rsidRDefault="0071029D" w:rsidP="0071029D">
            <w:pPr>
              <w:rPr>
                <w:rFonts w:ascii="Calibri" w:eastAsia="Calibri" w:hAnsi="Calibri" w:cs="Times New Roman"/>
                <w:color w:val="0000FF"/>
                <w:sz w:val="18"/>
                <w:szCs w:val="18"/>
              </w:rPr>
            </w:pPr>
            <w:r w:rsidRPr="0071029D">
              <w:rPr>
                <w:rFonts w:ascii="Calibri" w:eastAsia="Calibri" w:hAnsi="Calibri" w:cs="Times New Roman"/>
                <w:sz w:val="18"/>
                <w:szCs w:val="18"/>
              </w:rPr>
              <w:t xml:space="preserve">Other </w:t>
            </w:r>
            <w:r w:rsidR="00DF10A5">
              <w:rPr>
                <w:rFonts w:ascii="Calibri" w:eastAsia="Calibri" w:hAnsi="Calibri" w:cs="Times New Roman"/>
                <w:sz w:val="18"/>
                <w:szCs w:val="18"/>
              </w:rPr>
              <w:t>i</w:t>
            </w:r>
            <w:r w:rsidRPr="0071029D">
              <w:rPr>
                <w:rFonts w:ascii="Calibri" w:eastAsia="Calibri" w:hAnsi="Calibri" w:cs="Times New Roman"/>
                <w:sz w:val="18"/>
                <w:szCs w:val="18"/>
              </w:rPr>
              <w:t xml:space="preserve">nstruments </w:t>
            </w:r>
          </w:p>
        </w:tc>
      </w:tr>
      <w:tr w:rsidR="0071029D" w:rsidRPr="0071029D" w14:paraId="2299CB74" w14:textId="77777777" w:rsidTr="000E3A78">
        <w:tc>
          <w:tcPr>
            <w:tcW w:w="14400" w:type="dxa"/>
            <w:gridSpan w:val="2"/>
            <w:tcBorders>
              <w:top w:val="single" w:sz="12" w:space="0" w:color="auto"/>
              <w:left w:val="single" w:sz="12" w:space="0" w:color="auto"/>
              <w:right w:val="single" w:sz="12" w:space="0" w:color="auto"/>
            </w:tcBorders>
            <w:shd w:val="clear" w:color="auto" w:fill="D9D9D9"/>
          </w:tcPr>
          <w:p w14:paraId="6AE65D65" w14:textId="77777777" w:rsidR="0071029D" w:rsidRPr="0071029D" w:rsidRDefault="0071029D" w:rsidP="0071029D">
            <w:pPr>
              <w:jc w:val="center"/>
              <w:rPr>
                <w:rFonts w:ascii="Calibri" w:eastAsia="Calibri" w:hAnsi="Calibri" w:cs="Times New Roman"/>
                <w:sz w:val="18"/>
                <w:szCs w:val="18"/>
              </w:rPr>
            </w:pPr>
            <w:r w:rsidRPr="0071029D">
              <w:rPr>
                <w:rFonts w:ascii="Calibri" w:eastAsia="Calibri" w:hAnsi="Calibri" w:cs="Times New Roman"/>
                <w:sz w:val="18"/>
                <w:szCs w:val="18"/>
              </w:rPr>
              <w:t>Summary of Analysis</w:t>
            </w:r>
          </w:p>
        </w:tc>
      </w:tr>
      <w:tr w:rsidR="0071029D" w:rsidRPr="0071029D" w14:paraId="0F7076AD" w14:textId="77777777" w:rsidTr="000E3A78">
        <w:tc>
          <w:tcPr>
            <w:tcW w:w="14400" w:type="dxa"/>
            <w:gridSpan w:val="2"/>
            <w:tcBorders>
              <w:left w:val="single" w:sz="12" w:space="0" w:color="auto"/>
              <w:right w:val="single" w:sz="12" w:space="0" w:color="auto"/>
            </w:tcBorders>
          </w:tcPr>
          <w:p w14:paraId="011EDA04" w14:textId="77777777" w:rsidR="0071029D" w:rsidRPr="0071029D" w:rsidRDefault="0071029D" w:rsidP="0071029D">
            <w:pPr>
              <w:spacing w:after="200" w:line="276" w:lineRule="auto"/>
              <w:rPr>
                <w:rFonts w:ascii="Calibri" w:eastAsia="Calibri" w:hAnsi="Calibri" w:cs="Times New Roman"/>
                <w:sz w:val="18"/>
                <w:szCs w:val="18"/>
                <w:u w:val="single"/>
              </w:rPr>
            </w:pPr>
            <w:r w:rsidRPr="0071029D">
              <w:rPr>
                <w:rFonts w:ascii="Calibri" w:eastAsia="Calibri" w:hAnsi="Calibri" w:cs="Times New Roman"/>
                <w:sz w:val="18"/>
                <w:szCs w:val="18"/>
                <w:u w:val="single"/>
              </w:rPr>
              <w:t>Execution Venue Performance:</w:t>
            </w:r>
          </w:p>
          <w:p w14:paraId="179E79C3" w14:textId="799FCFE4" w:rsidR="0071029D" w:rsidRPr="0071029D" w:rsidRDefault="0071029D" w:rsidP="0071029D">
            <w:pPr>
              <w:spacing w:after="200" w:line="276" w:lineRule="auto"/>
              <w:ind w:left="360"/>
              <w:rPr>
                <w:rFonts w:ascii="Calibri" w:eastAsia="Calibri" w:hAnsi="Calibri" w:cs="Times New Roman"/>
                <w:sz w:val="18"/>
                <w:szCs w:val="18"/>
              </w:rPr>
            </w:pPr>
            <w:r w:rsidRPr="0071029D">
              <w:rPr>
                <w:rFonts w:ascii="Calibri" w:eastAsia="Calibri" w:hAnsi="Calibri" w:cs="Times New Roman"/>
                <w:sz w:val="18"/>
                <w:szCs w:val="18"/>
              </w:rPr>
              <w:t xml:space="preserve">In 2020, J.P. Morgan Securities </w:t>
            </w:r>
            <w:r>
              <w:rPr>
                <w:rFonts w:ascii="Calibri" w:eastAsia="Calibri" w:hAnsi="Calibri" w:cs="Times New Roman"/>
                <w:sz w:val="18"/>
                <w:szCs w:val="18"/>
              </w:rPr>
              <w:t>p</w:t>
            </w:r>
            <w:r w:rsidRPr="0071029D">
              <w:rPr>
                <w:rFonts w:ascii="Calibri" w:eastAsia="Calibri" w:hAnsi="Calibri" w:cs="Times New Roman"/>
                <w:sz w:val="18"/>
                <w:szCs w:val="18"/>
              </w:rPr>
              <w:t>lc primarily accessed execution venues for</w:t>
            </w:r>
            <w:r w:rsidRPr="0071029D">
              <w:rPr>
                <w:rFonts w:ascii="Calibri" w:eastAsia="Calibri" w:hAnsi="Calibri" w:cs="Times New Roman"/>
              </w:rPr>
              <w:t xml:space="preserve"> </w:t>
            </w:r>
            <w:r w:rsidRPr="0071029D">
              <w:rPr>
                <w:rFonts w:ascii="Calibri" w:eastAsia="Calibri" w:hAnsi="Calibri" w:cs="Times New Roman"/>
                <w:sz w:val="18"/>
                <w:szCs w:val="18"/>
              </w:rPr>
              <w:t>securities which maintained their primary listing on a non-EEA-domiciled exchange.</w:t>
            </w:r>
          </w:p>
          <w:p w14:paraId="35B1EB0F" w14:textId="77777777" w:rsidR="0071029D" w:rsidRPr="0071029D" w:rsidRDefault="0071029D" w:rsidP="0071029D">
            <w:pPr>
              <w:spacing w:after="200" w:line="276" w:lineRule="auto"/>
              <w:ind w:left="360"/>
              <w:rPr>
                <w:rFonts w:ascii="Calibri" w:eastAsia="Calibri" w:hAnsi="Calibri" w:cs="Times New Roman"/>
                <w:sz w:val="18"/>
                <w:szCs w:val="18"/>
              </w:rPr>
            </w:pPr>
            <w:r w:rsidRPr="0071029D">
              <w:rPr>
                <w:rFonts w:ascii="Calibri" w:eastAsia="Calibri" w:hAnsi="Calibri" w:cs="Times New Roman"/>
                <w:sz w:val="18"/>
                <w:szCs w:val="18"/>
              </w:rPr>
              <w:t xml:space="preserve">J.P. Morgan Securities plc monitored a number of performance factors in relation to the venues listed within Appendix 1 of the </w:t>
            </w:r>
            <w:hyperlink r:id="rId33" w:history="1">
              <w:r w:rsidRPr="0071029D">
                <w:rPr>
                  <w:rFonts w:ascii="Calibri" w:eastAsia="Calibri" w:hAnsi="Calibri" w:cs="Times New Roman"/>
                  <w:color w:val="0000FF"/>
                  <w:sz w:val="18"/>
                  <w:szCs w:val="18"/>
                  <w:u w:val="single"/>
                </w:rPr>
                <w:t>J.P. Morgan Execution Policy</w:t>
              </w:r>
            </w:hyperlink>
            <w:r w:rsidRPr="0071029D">
              <w:rPr>
                <w:rFonts w:ascii="Calibri" w:eastAsia="Calibri" w:hAnsi="Calibri" w:cs="Times New Roman"/>
                <w:color w:val="0000FF"/>
                <w:sz w:val="18"/>
                <w:szCs w:val="18"/>
                <w:u w:val="single"/>
              </w:rPr>
              <w:t xml:space="preserve">. </w:t>
            </w:r>
            <w:r w:rsidRPr="0071029D">
              <w:rPr>
                <w:rFonts w:ascii="Calibri" w:eastAsia="Calibri" w:hAnsi="Calibri" w:cs="Times New Roman"/>
                <w:sz w:val="18"/>
                <w:szCs w:val="18"/>
              </w:rPr>
              <w:t>The factors reviewed together with the key observations made are as follows:</w:t>
            </w:r>
          </w:p>
          <w:p w14:paraId="05936CCA" w14:textId="77777777" w:rsidR="0071029D" w:rsidRPr="0071029D" w:rsidRDefault="0071029D" w:rsidP="0071029D">
            <w:pPr>
              <w:spacing w:after="200" w:line="276" w:lineRule="auto"/>
              <w:ind w:left="360"/>
              <w:rPr>
                <w:rFonts w:ascii="Calibri" w:eastAsia="Calibri" w:hAnsi="Calibri" w:cs="Times New Roman"/>
                <w:b/>
                <w:sz w:val="18"/>
                <w:szCs w:val="18"/>
              </w:rPr>
            </w:pPr>
            <w:r w:rsidRPr="0071029D">
              <w:rPr>
                <w:rFonts w:ascii="Calibri" w:eastAsia="Calibri" w:hAnsi="Calibri" w:cs="Times New Roman"/>
                <w:b/>
                <w:sz w:val="18"/>
                <w:szCs w:val="18"/>
              </w:rPr>
              <w:t xml:space="preserve">Access to Liquidity </w:t>
            </w:r>
          </w:p>
          <w:p w14:paraId="03C1445F" w14:textId="77777777" w:rsidR="0071029D" w:rsidRPr="0071029D" w:rsidRDefault="0071029D" w:rsidP="0071029D">
            <w:pPr>
              <w:spacing w:after="200" w:line="276" w:lineRule="auto"/>
              <w:ind w:left="720"/>
              <w:rPr>
                <w:rFonts w:ascii="Calibri" w:eastAsia="Calibri" w:hAnsi="Calibri" w:cs="Times New Roman"/>
                <w:sz w:val="18"/>
                <w:szCs w:val="18"/>
              </w:rPr>
            </w:pPr>
            <w:r w:rsidRPr="0071029D">
              <w:rPr>
                <w:rFonts w:ascii="Calibri" w:eastAsia="Calibri" w:hAnsi="Calibri" w:cs="Times New Roman"/>
                <w:sz w:val="18"/>
                <w:szCs w:val="18"/>
                <w:u w:val="single"/>
              </w:rPr>
              <w:t>Conventional Displayed Trading Venues:</w:t>
            </w:r>
            <w:r w:rsidRPr="0071029D">
              <w:rPr>
                <w:rFonts w:ascii="Calibri" w:eastAsia="Calibri" w:hAnsi="Calibri" w:cs="Times New Roman"/>
                <w:sz w:val="18"/>
                <w:szCs w:val="18"/>
              </w:rPr>
              <w:t xml:space="preserve"> In line with our execution policy, we maintained access to the primary market for securities in which we act as the executing broker.  Additionally, we maintained access to the following significant pan-European multilateral trading facilities (MTFs):  CBOE, Turquoise, and </w:t>
            </w:r>
            <w:proofErr w:type="spellStart"/>
            <w:r w:rsidRPr="0071029D">
              <w:rPr>
                <w:rFonts w:ascii="Calibri" w:eastAsia="Calibri" w:hAnsi="Calibri" w:cs="Times New Roman"/>
                <w:sz w:val="18"/>
                <w:szCs w:val="18"/>
              </w:rPr>
              <w:t>Aquis</w:t>
            </w:r>
            <w:proofErr w:type="spellEnd"/>
            <w:r w:rsidRPr="0071029D">
              <w:rPr>
                <w:rFonts w:ascii="Calibri" w:eastAsia="Calibri" w:hAnsi="Calibri" w:cs="Times New Roman"/>
                <w:sz w:val="18"/>
                <w:szCs w:val="18"/>
              </w:rPr>
              <w:t>.  In combination, these venues provide access to over 99% of displayed liquidity in the relevant markets.</w:t>
            </w:r>
          </w:p>
          <w:p w14:paraId="2868B2D3" w14:textId="77777777" w:rsidR="0071029D" w:rsidRPr="0071029D" w:rsidRDefault="0071029D" w:rsidP="0071029D">
            <w:pPr>
              <w:spacing w:after="200" w:line="276" w:lineRule="auto"/>
              <w:ind w:left="720"/>
              <w:rPr>
                <w:rFonts w:ascii="Calibri" w:eastAsia="Calibri" w:hAnsi="Calibri" w:cs="Times New Roman"/>
                <w:sz w:val="18"/>
                <w:szCs w:val="18"/>
              </w:rPr>
            </w:pPr>
            <w:r w:rsidRPr="0071029D">
              <w:rPr>
                <w:rFonts w:ascii="Calibri" w:eastAsia="Calibri" w:hAnsi="Calibri" w:cs="Times New Roman"/>
                <w:sz w:val="18"/>
                <w:szCs w:val="18"/>
                <w:u w:val="single"/>
              </w:rPr>
              <w:t>Non Displayed, Periodic Auction and other Execution Venues:</w:t>
            </w:r>
            <w:r w:rsidRPr="0071029D">
              <w:rPr>
                <w:rFonts w:ascii="Calibri" w:eastAsia="Calibri" w:hAnsi="Calibri" w:cs="Times New Roman"/>
                <w:sz w:val="18"/>
                <w:szCs w:val="18"/>
              </w:rPr>
              <w:t xml:space="preserve">  In 2020, we added a number of additional venues to enhance our liquidity access, including Jump Trading BV and </w:t>
            </w:r>
            <w:proofErr w:type="spellStart"/>
            <w:r w:rsidRPr="0071029D">
              <w:rPr>
                <w:rFonts w:ascii="Calibri" w:eastAsia="Calibri" w:hAnsi="Calibri" w:cs="Times New Roman"/>
                <w:sz w:val="18"/>
                <w:szCs w:val="18"/>
              </w:rPr>
              <w:t>Cboe</w:t>
            </w:r>
            <w:proofErr w:type="spellEnd"/>
            <w:r w:rsidRPr="0071029D">
              <w:rPr>
                <w:rFonts w:ascii="Calibri" w:eastAsia="Calibri" w:hAnsi="Calibri" w:cs="Times New Roman"/>
                <w:sz w:val="18"/>
                <w:szCs w:val="18"/>
              </w:rPr>
              <w:t xml:space="preserve"> Closing Cross (3C).</w:t>
            </w:r>
          </w:p>
          <w:p w14:paraId="53A118F9" w14:textId="77777777" w:rsidR="0071029D" w:rsidRPr="0071029D" w:rsidRDefault="0071029D" w:rsidP="0071029D">
            <w:pPr>
              <w:spacing w:after="200" w:line="276" w:lineRule="auto"/>
              <w:ind w:left="360"/>
              <w:rPr>
                <w:rFonts w:ascii="Calibri" w:eastAsia="Calibri" w:hAnsi="Calibri" w:cs="Times New Roman"/>
                <w:b/>
                <w:sz w:val="18"/>
                <w:szCs w:val="18"/>
              </w:rPr>
            </w:pPr>
            <w:r w:rsidRPr="0071029D">
              <w:rPr>
                <w:rFonts w:ascii="Calibri" w:eastAsia="Calibri" w:hAnsi="Calibri" w:cs="Times New Roman"/>
                <w:b/>
                <w:sz w:val="18"/>
                <w:szCs w:val="18"/>
              </w:rPr>
              <w:t>Pricing Analysis and Performance</w:t>
            </w:r>
          </w:p>
          <w:p w14:paraId="6647FDDE" w14:textId="77777777" w:rsidR="0071029D" w:rsidRPr="0071029D" w:rsidRDefault="0071029D" w:rsidP="0071029D">
            <w:pPr>
              <w:spacing w:after="200" w:line="276" w:lineRule="auto"/>
              <w:ind w:left="720"/>
              <w:rPr>
                <w:rFonts w:ascii="Calibri" w:eastAsia="Calibri" w:hAnsi="Calibri" w:cs="Times New Roman"/>
                <w:b/>
                <w:sz w:val="18"/>
                <w:szCs w:val="18"/>
              </w:rPr>
            </w:pPr>
            <w:r w:rsidRPr="0071029D">
              <w:rPr>
                <w:rFonts w:ascii="Calibri" w:eastAsia="Calibri" w:hAnsi="Calibri" w:cs="Times New Roman"/>
                <w:sz w:val="18"/>
                <w:szCs w:val="18"/>
                <w:u w:val="single"/>
              </w:rPr>
              <w:t>Conventional Displayed Trading Venues:</w:t>
            </w:r>
            <w:r w:rsidRPr="0071029D">
              <w:rPr>
                <w:rFonts w:ascii="Calibri" w:eastAsia="Calibri" w:hAnsi="Calibri" w:cs="Times New Roman"/>
                <w:sz w:val="18"/>
                <w:szCs w:val="18"/>
              </w:rPr>
              <w:t xml:space="preserve"> </w:t>
            </w:r>
            <w:r w:rsidRPr="0071029D">
              <w:rPr>
                <w:rFonts w:ascii="Calibri" w:eastAsia="Calibri" w:hAnsi="Calibri" w:cs="Times New Roman"/>
                <w:b/>
                <w:sz w:val="18"/>
                <w:szCs w:val="18"/>
              </w:rPr>
              <w:t xml:space="preserve">  </w:t>
            </w:r>
          </w:p>
          <w:p w14:paraId="72E31FB0" w14:textId="77777777" w:rsidR="0071029D" w:rsidRPr="0071029D" w:rsidRDefault="0071029D" w:rsidP="0071029D">
            <w:pPr>
              <w:spacing w:after="200" w:line="276" w:lineRule="auto"/>
              <w:ind w:left="720"/>
              <w:rPr>
                <w:rFonts w:ascii="Calibri" w:eastAsia="Calibri" w:hAnsi="Calibri" w:cs="Times New Roman"/>
                <w:sz w:val="18"/>
                <w:szCs w:val="18"/>
              </w:rPr>
            </w:pPr>
            <w:r w:rsidRPr="0071029D">
              <w:rPr>
                <w:rFonts w:ascii="Calibri" w:eastAsia="Calibri" w:hAnsi="Calibri" w:cs="Times New Roman"/>
                <w:sz w:val="18"/>
                <w:szCs w:val="18"/>
              </w:rPr>
              <w:t xml:space="preserve">We maintain measures of </w:t>
            </w:r>
            <w:r w:rsidRPr="0071029D">
              <w:rPr>
                <w:rFonts w:ascii="Calibri" w:eastAsia="Calibri" w:hAnsi="Calibri" w:cs="Times New Roman"/>
                <w:i/>
                <w:sz w:val="18"/>
                <w:szCs w:val="18"/>
              </w:rPr>
              <w:t>price improvement</w:t>
            </w:r>
            <w:r w:rsidRPr="0071029D">
              <w:rPr>
                <w:rFonts w:ascii="Calibri" w:eastAsia="Calibri" w:hAnsi="Calibri" w:cs="Times New Roman"/>
                <w:sz w:val="18"/>
                <w:szCs w:val="18"/>
              </w:rPr>
              <w:t xml:space="preserve"> that indicate the extent to which a trade performed on a given venue provides a better price than that available on the primary market at the time of trading.  These metrics indicated that material price improvement was obtained as a result of transactions performed on CBOE, Turquoise and </w:t>
            </w:r>
            <w:proofErr w:type="spellStart"/>
            <w:r w:rsidRPr="0071029D">
              <w:rPr>
                <w:rFonts w:ascii="Calibri" w:eastAsia="Calibri" w:hAnsi="Calibri" w:cs="Times New Roman"/>
                <w:sz w:val="18"/>
                <w:szCs w:val="18"/>
              </w:rPr>
              <w:t>Aquis</w:t>
            </w:r>
            <w:proofErr w:type="spellEnd"/>
            <w:r w:rsidRPr="0071029D">
              <w:rPr>
                <w:rFonts w:ascii="Calibri" w:eastAsia="Calibri" w:hAnsi="Calibri" w:cs="Times New Roman"/>
                <w:sz w:val="18"/>
                <w:szCs w:val="18"/>
              </w:rPr>
              <w:t xml:space="preserve">.   The metrics observed over 2020 indicate both that the venues themselves provide price improvement opportunities and that our routing practices are successfully identifying those opportunities.  Average price improvement observed across CBOE, Turquoise and </w:t>
            </w:r>
            <w:proofErr w:type="spellStart"/>
            <w:r w:rsidRPr="0071029D">
              <w:rPr>
                <w:rFonts w:ascii="Calibri" w:eastAsia="Calibri" w:hAnsi="Calibri" w:cs="Times New Roman"/>
                <w:sz w:val="18"/>
                <w:szCs w:val="18"/>
              </w:rPr>
              <w:t>Aquis</w:t>
            </w:r>
            <w:proofErr w:type="spellEnd"/>
            <w:r w:rsidRPr="0071029D">
              <w:rPr>
                <w:rFonts w:ascii="Calibri" w:eastAsia="Calibri" w:hAnsi="Calibri" w:cs="Times New Roman"/>
                <w:sz w:val="18"/>
                <w:szCs w:val="18"/>
              </w:rPr>
              <w:t xml:space="preserve"> venues ranged from </w:t>
            </w:r>
            <w:r w:rsidRPr="0071029D">
              <w:rPr>
                <w:rFonts w:ascii="Calibri" w:eastAsia="Calibri" w:hAnsi="Calibri" w:cs="Times New Roman"/>
                <w:b/>
                <w:sz w:val="18"/>
                <w:szCs w:val="18"/>
              </w:rPr>
              <w:t>1.06</w:t>
            </w:r>
            <w:r w:rsidRPr="0071029D">
              <w:rPr>
                <w:rFonts w:ascii="Calibri" w:eastAsia="Calibri" w:hAnsi="Calibri" w:cs="Times New Roman"/>
                <w:sz w:val="18"/>
                <w:szCs w:val="18"/>
              </w:rPr>
              <w:t xml:space="preserve"> – </w:t>
            </w:r>
            <w:r w:rsidRPr="0071029D">
              <w:rPr>
                <w:rFonts w:ascii="Calibri" w:eastAsia="Calibri" w:hAnsi="Calibri" w:cs="Times New Roman"/>
                <w:b/>
                <w:sz w:val="18"/>
                <w:szCs w:val="18"/>
              </w:rPr>
              <w:t>1.71</w:t>
            </w:r>
            <w:r w:rsidRPr="0071029D">
              <w:rPr>
                <w:rFonts w:ascii="Calibri" w:eastAsia="Calibri" w:hAnsi="Calibri" w:cs="Times New Roman"/>
                <w:sz w:val="18"/>
                <w:szCs w:val="18"/>
              </w:rPr>
              <w:t xml:space="preserve">  basis points (bps).</w:t>
            </w:r>
          </w:p>
          <w:p w14:paraId="0E438E50" w14:textId="77777777" w:rsidR="0071029D" w:rsidRPr="0071029D" w:rsidRDefault="0071029D" w:rsidP="0071029D">
            <w:pPr>
              <w:spacing w:after="200" w:line="276" w:lineRule="auto"/>
              <w:ind w:left="720"/>
              <w:rPr>
                <w:rFonts w:ascii="Calibri" w:eastAsia="Calibri" w:hAnsi="Calibri" w:cs="Times New Roman"/>
                <w:b/>
                <w:sz w:val="18"/>
                <w:szCs w:val="18"/>
              </w:rPr>
            </w:pPr>
            <w:r w:rsidRPr="0071029D">
              <w:rPr>
                <w:rFonts w:ascii="Calibri" w:eastAsia="Calibri" w:hAnsi="Calibri" w:cs="Times New Roman"/>
                <w:sz w:val="18"/>
                <w:szCs w:val="18"/>
                <w:u w:val="single"/>
              </w:rPr>
              <w:t xml:space="preserve">Systematic Internalisers: </w:t>
            </w:r>
            <w:r w:rsidRPr="0071029D">
              <w:rPr>
                <w:rFonts w:ascii="Calibri" w:eastAsia="Calibri" w:hAnsi="Calibri" w:cs="Times New Roman"/>
                <w:b/>
                <w:sz w:val="18"/>
                <w:szCs w:val="18"/>
              </w:rPr>
              <w:t xml:space="preserve"> </w:t>
            </w:r>
          </w:p>
          <w:p w14:paraId="50B751C7" w14:textId="77777777" w:rsidR="0071029D" w:rsidRPr="0071029D" w:rsidRDefault="0071029D" w:rsidP="0071029D">
            <w:pPr>
              <w:spacing w:after="200" w:line="276" w:lineRule="auto"/>
              <w:ind w:left="720"/>
              <w:rPr>
                <w:rFonts w:ascii="Calibri" w:eastAsia="Calibri" w:hAnsi="Calibri" w:cs="Times New Roman"/>
                <w:sz w:val="18"/>
                <w:szCs w:val="18"/>
              </w:rPr>
            </w:pPr>
            <w:r w:rsidRPr="0071029D">
              <w:rPr>
                <w:rFonts w:ascii="Calibri" w:eastAsia="Calibri" w:hAnsi="Calibri" w:cs="Times New Roman"/>
                <w:sz w:val="18"/>
                <w:szCs w:val="18"/>
              </w:rPr>
              <w:t xml:space="preserve">Electronic Liquidity Providers (ELPs):  In 2020, we observed price improvement (measured as a percentage of the spread) of </w:t>
            </w:r>
            <w:r w:rsidRPr="0071029D">
              <w:rPr>
                <w:rFonts w:ascii="Calibri" w:eastAsia="Calibri" w:hAnsi="Calibri" w:cs="Times New Roman"/>
                <w:b/>
                <w:sz w:val="18"/>
                <w:szCs w:val="18"/>
              </w:rPr>
              <w:t>6.34%</w:t>
            </w:r>
            <w:r w:rsidRPr="0071029D">
              <w:rPr>
                <w:rFonts w:ascii="Calibri" w:eastAsia="Calibri" w:hAnsi="Calibri" w:cs="Times New Roman"/>
                <w:sz w:val="18"/>
                <w:szCs w:val="18"/>
              </w:rPr>
              <w:t>.  We also observed smaller adverse movements in the market (market impact) following executions conducted with ELPs compared to executions on conventional displayed trading venues.</w:t>
            </w:r>
          </w:p>
          <w:p w14:paraId="23C91A68" w14:textId="77777777" w:rsidR="0071029D" w:rsidRPr="0071029D" w:rsidRDefault="0071029D" w:rsidP="0071029D">
            <w:pPr>
              <w:spacing w:after="200" w:line="276" w:lineRule="auto"/>
              <w:ind w:left="720"/>
              <w:rPr>
                <w:rFonts w:ascii="Calibri" w:eastAsia="Calibri" w:hAnsi="Calibri" w:cs="Times New Roman"/>
                <w:b/>
                <w:sz w:val="18"/>
                <w:szCs w:val="18"/>
              </w:rPr>
            </w:pPr>
            <w:r w:rsidRPr="0071029D">
              <w:rPr>
                <w:rFonts w:ascii="Calibri" w:eastAsia="Calibri" w:hAnsi="Calibri" w:cs="Times New Roman"/>
                <w:sz w:val="18"/>
                <w:szCs w:val="18"/>
              </w:rPr>
              <w:t xml:space="preserve">J.P. Morgan Venues: Our own Systematic Internaliser was our largest venue of execution by value in 2020.    We observed an average price improvement of </w:t>
            </w:r>
            <w:r w:rsidRPr="0071029D">
              <w:rPr>
                <w:rFonts w:ascii="Calibri" w:eastAsia="Calibri" w:hAnsi="Calibri" w:cs="Times New Roman"/>
                <w:b/>
                <w:sz w:val="18"/>
                <w:szCs w:val="18"/>
              </w:rPr>
              <w:t>4.7</w:t>
            </w:r>
            <w:r w:rsidRPr="0071029D">
              <w:rPr>
                <w:rFonts w:ascii="Calibri" w:eastAsia="Calibri" w:hAnsi="Calibri" w:cs="Times New Roman"/>
                <w:sz w:val="18"/>
                <w:szCs w:val="18"/>
              </w:rPr>
              <w:t xml:space="preserve"> bps / </w:t>
            </w:r>
            <w:r w:rsidRPr="0071029D">
              <w:rPr>
                <w:rFonts w:ascii="Calibri" w:eastAsia="Calibri" w:hAnsi="Calibri" w:cs="Times New Roman"/>
                <w:b/>
                <w:sz w:val="18"/>
                <w:szCs w:val="18"/>
              </w:rPr>
              <w:t>48.9%</w:t>
            </w:r>
            <w:r w:rsidRPr="0071029D">
              <w:rPr>
                <w:rFonts w:ascii="Calibri" w:eastAsia="Calibri" w:hAnsi="Calibri" w:cs="Times New Roman"/>
                <w:sz w:val="18"/>
                <w:szCs w:val="18"/>
              </w:rPr>
              <w:t xml:space="preserve"> of spread over the course of 2020.</w:t>
            </w:r>
          </w:p>
          <w:p w14:paraId="7506DCD2" w14:textId="77777777" w:rsidR="0071029D" w:rsidRPr="0071029D" w:rsidRDefault="0071029D" w:rsidP="0071029D">
            <w:pPr>
              <w:spacing w:after="200" w:line="276" w:lineRule="auto"/>
              <w:ind w:left="360"/>
              <w:rPr>
                <w:rFonts w:ascii="Calibri" w:eastAsia="Calibri" w:hAnsi="Calibri" w:cs="Times New Roman"/>
                <w:sz w:val="18"/>
                <w:szCs w:val="18"/>
              </w:rPr>
            </w:pPr>
            <w:r w:rsidRPr="0071029D">
              <w:rPr>
                <w:rFonts w:ascii="Calibri" w:eastAsia="Calibri" w:hAnsi="Calibri" w:cs="Times New Roman"/>
                <w:b/>
                <w:sz w:val="18"/>
                <w:szCs w:val="18"/>
              </w:rPr>
              <w:lastRenderedPageBreak/>
              <w:t xml:space="preserve">Latency and Fill Rates </w:t>
            </w:r>
            <w:r w:rsidRPr="0071029D">
              <w:rPr>
                <w:rFonts w:ascii="Calibri" w:eastAsia="Calibri" w:hAnsi="Calibri" w:cs="Times New Roman"/>
                <w:bCs/>
                <w:sz w:val="18"/>
                <w:szCs w:val="18"/>
              </w:rPr>
              <w:t>(</w:t>
            </w:r>
            <w:r w:rsidRPr="0071029D">
              <w:rPr>
                <w:rFonts w:ascii="Calibri" w:eastAsia="Calibri" w:hAnsi="Calibri" w:cs="Times New Roman"/>
                <w:sz w:val="18"/>
                <w:szCs w:val="18"/>
                <w:u w:val="single"/>
              </w:rPr>
              <w:t>Applicable to Conventional Displayed Trading Venues Only)</w:t>
            </w:r>
            <w:r w:rsidRPr="0071029D">
              <w:rPr>
                <w:rFonts w:ascii="Calibri" w:eastAsia="Calibri" w:hAnsi="Calibri" w:cs="Times New Roman"/>
                <w:b/>
                <w:sz w:val="18"/>
                <w:szCs w:val="18"/>
              </w:rPr>
              <w:t xml:space="preserve"> | </w:t>
            </w:r>
            <w:r w:rsidRPr="0071029D">
              <w:rPr>
                <w:rFonts w:ascii="Calibri" w:eastAsia="Calibri" w:hAnsi="Calibri" w:cs="Times New Roman"/>
                <w:sz w:val="18"/>
                <w:szCs w:val="18"/>
              </w:rPr>
              <w:t>This relates to the ability of our systems to reliably access displayed liquidity.  This performance factor reflects that of our own systems as well as those of the venue itself and its physical location.</w:t>
            </w:r>
          </w:p>
          <w:p w14:paraId="23526AB6" w14:textId="77777777" w:rsidR="0071029D" w:rsidRPr="0071029D" w:rsidRDefault="0071029D" w:rsidP="0071029D">
            <w:pPr>
              <w:spacing w:after="200" w:line="276" w:lineRule="auto"/>
              <w:ind w:left="720"/>
              <w:rPr>
                <w:rFonts w:ascii="Calibri" w:eastAsia="Calibri" w:hAnsi="Calibri" w:cs="Times New Roman"/>
                <w:sz w:val="18"/>
                <w:szCs w:val="18"/>
              </w:rPr>
            </w:pPr>
            <w:r w:rsidRPr="0071029D">
              <w:rPr>
                <w:rFonts w:ascii="Calibri" w:eastAsia="Calibri" w:hAnsi="Calibri" w:cs="Times New Roman"/>
                <w:b/>
                <w:sz w:val="18"/>
                <w:szCs w:val="18"/>
              </w:rPr>
              <w:t>Market access latencies:</w:t>
            </w:r>
            <w:r w:rsidRPr="0071029D">
              <w:rPr>
                <w:rFonts w:ascii="Calibri" w:eastAsia="Calibri" w:hAnsi="Calibri" w:cs="Times New Roman"/>
                <w:sz w:val="18"/>
                <w:szCs w:val="18"/>
              </w:rPr>
              <w:t xml:space="preserve"> were largely driven by the location of a trading venue’s datacentre: Based on Nov-December 2020 data, U.K.-based displayed venues exhibited median round-trip times ranging from </w:t>
            </w:r>
            <w:r w:rsidRPr="0071029D">
              <w:rPr>
                <w:rFonts w:ascii="Calibri" w:eastAsia="Calibri" w:hAnsi="Calibri" w:cs="Times New Roman"/>
                <w:b/>
                <w:sz w:val="18"/>
                <w:szCs w:val="18"/>
              </w:rPr>
              <w:t>0.50</w:t>
            </w:r>
            <w:r w:rsidRPr="0071029D">
              <w:rPr>
                <w:rFonts w:ascii="Calibri" w:eastAsia="Calibri" w:hAnsi="Calibri" w:cs="Times New Roman"/>
                <w:sz w:val="18"/>
                <w:szCs w:val="18"/>
              </w:rPr>
              <w:t xml:space="preserve"> – </w:t>
            </w:r>
            <w:r w:rsidRPr="0071029D">
              <w:rPr>
                <w:rFonts w:ascii="Calibri" w:eastAsia="Calibri" w:hAnsi="Calibri" w:cs="Times New Roman"/>
                <w:b/>
                <w:sz w:val="18"/>
                <w:szCs w:val="18"/>
              </w:rPr>
              <w:t>1.60</w:t>
            </w:r>
            <w:r w:rsidRPr="0071029D">
              <w:rPr>
                <w:rFonts w:ascii="Calibri" w:eastAsia="Calibri" w:hAnsi="Calibri" w:cs="Times New Roman"/>
                <w:sz w:val="18"/>
                <w:szCs w:val="18"/>
              </w:rPr>
              <w:t xml:space="preserve"> milliseconds.</w:t>
            </w:r>
          </w:p>
          <w:p w14:paraId="2BD49CDD" w14:textId="77777777" w:rsidR="0071029D" w:rsidRPr="0071029D" w:rsidRDefault="0071029D" w:rsidP="0071029D">
            <w:pPr>
              <w:spacing w:after="200" w:line="276" w:lineRule="auto"/>
              <w:ind w:left="720"/>
              <w:rPr>
                <w:rFonts w:ascii="Calibri" w:eastAsia="Calibri" w:hAnsi="Calibri" w:cs="Times New Roman"/>
                <w:b/>
                <w:sz w:val="18"/>
                <w:szCs w:val="18"/>
              </w:rPr>
            </w:pPr>
            <w:r w:rsidRPr="0071029D">
              <w:rPr>
                <w:rFonts w:ascii="Calibri" w:eastAsia="Calibri" w:hAnsi="Calibri" w:cs="Times New Roman"/>
                <w:b/>
                <w:sz w:val="18"/>
                <w:szCs w:val="18"/>
              </w:rPr>
              <w:t xml:space="preserve">Fill rates: </w:t>
            </w:r>
            <w:r w:rsidRPr="0071029D">
              <w:rPr>
                <w:rFonts w:ascii="Calibri" w:eastAsia="Calibri" w:hAnsi="Calibri" w:cs="Times New Roman"/>
                <w:sz w:val="18"/>
                <w:szCs w:val="18"/>
              </w:rPr>
              <w:t xml:space="preserve">weighted average </w:t>
            </w:r>
            <w:r w:rsidRPr="0071029D">
              <w:rPr>
                <w:rFonts w:ascii="Calibri" w:eastAsia="Calibri" w:hAnsi="Calibri" w:cs="Times New Roman"/>
                <w:i/>
                <w:sz w:val="18"/>
                <w:szCs w:val="18"/>
              </w:rPr>
              <w:t>fill rates</w:t>
            </w:r>
            <w:r w:rsidRPr="0071029D">
              <w:rPr>
                <w:rFonts w:ascii="Calibri" w:eastAsia="Calibri" w:hAnsi="Calibri" w:cs="Times New Roman"/>
                <w:sz w:val="18"/>
                <w:szCs w:val="18"/>
                <w:vertAlign w:val="superscript"/>
              </w:rPr>
              <w:footnoteReference w:id="1"/>
            </w:r>
            <w:r w:rsidRPr="0071029D">
              <w:rPr>
                <w:rFonts w:ascii="Calibri" w:eastAsia="Calibri" w:hAnsi="Calibri" w:cs="Times New Roman"/>
                <w:sz w:val="18"/>
                <w:szCs w:val="18"/>
              </w:rPr>
              <w:t xml:space="preserve"> obtained across lit venues for immediate or cancelled (IOC) orders were </w:t>
            </w:r>
            <w:r w:rsidRPr="0071029D">
              <w:rPr>
                <w:rFonts w:ascii="Calibri" w:eastAsia="Calibri" w:hAnsi="Calibri" w:cs="Times New Roman"/>
                <w:b/>
                <w:sz w:val="18"/>
                <w:szCs w:val="18"/>
              </w:rPr>
              <w:t>94.0%</w:t>
            </w:r>
            <w:r w:rsidRPr="0071029D">
              <w:rPr>
                <w:rFonts w:ascii="Calibri" w:eastAsia="Calibri" w:hAnsi="Calibri" w:cs="Times New Roman"/>
                <w:sz w:val="18"/>
                <w:szCs w:val="18"/>
              </w:rPr>
              <w:t xml:space="preserve"> when sending orders to individual venues and </w:t>
            </w:r>
            <w:r w:rsidRPr="0071029D">
              <w:rPr>
                <w:rFonts w:ascii="Calibri" w:eastAsia="Calibri" w:hAnsi="Calibri" w:cs="Times New Roman"/>
                <w:b/>
                <w:sz w:val="18"/>
                <w:szCs w:val="18"/>
              </w:rPr>
              <w:t>92.2%</w:t>
            </w:r>
            <w:r w:rsidRPr="0071029D">
              <w:rPr>
                <w:rFonts w:ascii="Calibri" w:eastAsia="Calibri" w:hAnsi="Calibri" w:cs="Times New Roman"/>
                <w:sz w:val="18"/>
                <w:szCs w:val="18"/>
              </w:rPr>
              <w:t xml:space="preserve"> when sending orders to multiple venues within a single routing decision.  From these data, we conclude that we are able to reliably capture the liquidity displayed to us by these trading venues.</w:t>
            </w:r>
          </w:p>
          <w:p w14:paraId="16928E79" w14:textId="77777777" w:rsidR="0071029D" w:rsidRPr="0071029D" w:rsidRDefault="0071029D" w:rsidP="0071029D">
            <w:pPr>
              <w:contextualSpacing/>
              <w:rPr>
                <w:rFonts w:ascii="Calibri" w:eastAsia="Calibri" w:hAnsi="Calibri" w:cs="Times New Roman"/>
                <w:color w:val="0000FF"/>
                <w:sz w:val="18"/>
                <w:szCs w:val="18"/>
              </w:rPr>
            </w:pPr>
          </w:p>
        </w:tc>
      </w:tr>
    </w:tbl>
    <w:tbl>
      <w:tblPr>
        <w:tblStyle w:val="TableGrid1"/>
        <w:tblW w:w="14400" w:type="dxa"/>
        <w:tblInd w:w="468" w:type="dxa"/>
        <w:tblLook w:val="04A0" w:firstRow="1" w:lastRow="0" w:firstColumn="1" w:lastColumn="0" w:noHBand="0" w:noVBand="1"/>
      </w:tblPr>
      <w:tblGrid>
        <w:gridCol w:w="4410"/>
        <w:gridCol w:w="9990"/>
      </w:tblGrid>
      <w:tr w:rsidR="0071029D" w:rsidRPr="0071029D" w14:paraId="02B7DF4A" w14:textId="77777777" w:rsidTr="000E3A78">
        <w:tc>
          <w:tcPr>
            <w:tcW w:w="4410" w:type="dxa"/>
            <w:tcBorders>
              <w:left w:val="single" w:sz="12" w:space="0" w:color="auto"/>
            </w:tcBorders>
            <w:shd w:val="clear" w:color="auto" w:fill="D9D9D9"/>
          </w:tcPr>
          <w:p w14:paraId="68857F98" w14:textId="77777777" w:rsidR="0071029D" w:rsidRPr="0071029D" w:rsidRDefault="0071029D" w:rsidP="0071029D">
            <w:pPr>
              <w:rPr>
                <w:rFonts w:ascii="Calibri" w:eastAsia="Calibri" w:hAnsi="Calibri" w:cs="Times New Roman"/>
                <w:sz w:val="18"/>
                <w:szCs w:val="18"/>
              </w:rPr>
            </w:pPr>
            <w:r w:rsidRPr="0071029D">
              <w:rPr>
                <w:rFonts w:ascii="Calibri" w:eastAsia="Calibri" w:hAnsi="Calibri" w:cs="Times New Roman"/>
                <w:sz w:val="18"/>
                <w:szCs w:val="18"/>
              </w:rPr>
              <w:lastRenderedPageBreak/>
              <w:t>Relative importance given to execution factors &amp; other considerations</w:t>
            </w:r>
          </w:p>
        </w:tc>
        <w:tc>
          <w:tcPr>
            <w:tcW w:w="9990" w:type="dxa"/>
            <w:tcBorders>
              <w:right w:val="single" w:sz="12" w:space="0" w:color="auto"/>
            </w:tcBorders>
          </w:tcPr>
          <w:p w14:paraId="647CE5A0" w14:textId="77777777" w:rsidR="0071029D" w:rsidRPr="0071029D" w:rsidRDefault="0071029D" w:rsidP="0071029D">
            <w:pPr>
              <w:keepNext/>
              <w:numPr>
                <w:ilvl w:val="1"/>
                <w:numId w:val="3"/>
              </w:numPr>
              <w:tabs>
                <w:tab w:val="num" w:pos="360"/>
              </w:tabs>
              <w:spacing w:before="240" w:line="264" w:lineRule="auto"/>
              <w:outlineLvl w:val="1"/>
              <w:rPr>
                <w:rFonts w:ascii="Calibri" w:eastAsia="LF_Kai" w:hAnsi="Calibri" w:cs="Calibri"/>
                <w:b/>
                <w:bCs/>
                <w:iCs/>
                <w:color w:val="000000"/>
                <w:sz w:val="18"/>
                <w:szCs w:val="18"/>
                <w:highlight w:val="yellow"/>
                <w:u w:val="single"/>
                <w:lang w:eastAsia="zh-CN" w:bidi="yi-Hebr"/>
              </w:rPr>
            </w:pPr>
            <w:r w:rsidRPr="0071029D">
              <w:rPr>
                <w:rFonts w:ascii="Calibri" w:eastAsia="LF_Kai" w:hAnsi="Calibri" w:cs="Calibri"/>
                <w:b/>
                <w:bCs/>
                <w:iCs/>
                <w:color w:val="000000"/>
                <w:sz w:val="18"/>
                <w:szCs w:val="18"/>
                <w:u w:val="single"/>
                <w:lang w:eastAsia="zh-CN" w:bidi="yi-Hebr"/>
              </w:rPr>
              <w:t>Execution factors affecting short term venue selection:</w:t>
            </w:r>
          </w:p>
          <w:p w14:paraId="26820B2F" w14:textId="77777777" w:rsidR="0071029D" w:rsidRPr="0071029D" w:rsidRDefault="0071029D" w:rsidP="0071029D">
            <w:pPr>
              <w:spacing w:after="120" w:line="264" w:lineRule="auto"/>
              <w:jc w:val="both"/>
              <w:rPr>
                <w:rFonts w:ascii="Calibri" w:eastAsia="LF_Kai" w:hAnsi="Calibri" w:cs="Calibri"/>
                <w:color w:val="000000"/>
                <w:sz w:val="18"/>
                <w:szCs w:val="18"/>
                <w:lang w:eastAsia="zh-CN" w:bidi="yi-Hebr"/>
              </w:rPr>
            </w:pPr>
          </w:p>
          <w:p w14:paraId="65F3DEAB" w14:textId="77777777" w:rsidR="0071029D" w:rsidRPr="0071029D" w:rsidRDefault="0071029D" w:rsidP="0071029D">
            <w:pPr>
              <w:spacing w:after="120" w:line="264" w:lineRule="auto"/>
              <w:jc w:val="both"/>
              <w:rPr>
                <w:rFonts w:ascii="Calibri" w:eastAsia="LF_Kai" w:hAnsi="Calibri" w:cs="Calibri"/>
                <w:color w:val="000000"/>
                <w:sz w:val="18"/>
                <w:szCs w:val="18"/>
                <w:lang w:eastAsia="zh-CN" w:bidi="yi-Hebr"/>
              </w:rPr>
            </w:pPr>
            <w:r w:rsidRPr="0071029D">
              <w:rPr>
                <w:rFonts w:ascii="Calibri" w:eastAsia="LF_Kai" w:hAnsi="Calibri" w:cs="Calibri"/>
                <w:color w:val="000000"/>
                <w:sz w:val="18"/>
                <w:szCs w:val="18"/>
                <w:lang w:eastAsia="zh-CN" w:bidi="yi-Hebr"/>
              </w:rPr>
              <w:t xml:space="preserve">Where we are choosing between multiple </w:t>
            </w:r>
            <w:r w:rsidRPr="0071029D">
              <w:rPr>
                <w:rFonts w:ascii="Calibri" w:eastAsia="LF_Kai" w:hAnsi="Calibri" w:cs="Calibri"/>
                <w:i/>
                <w:color w:val="000000"/>
                <w:sz w:val="18"/>
                <w:szCs w:val="18"/>
                <w:lang w:eastAsia="zh-CN" w:bidi="yi-Hebr"/>
              </w:rPr>
              <w:t>execution venues</w:t>
            </w:r>
            <w:r w:rsidRPr="0071029D">
              <w:rPr>
                <w:rFonts w:ascii="Calibri" w:eastAsia="LF_Kai" w:hAnsi="Calibri" w:cs="Calibri"/>
                <w:color w:val="000000"/>
                <w:sz w:val="18"/>
                <w:szCs w:val="18"/>
                <w:lang w:eastAsia="zh-CN" w:bidi="yi-Hebr"/>
              </w:rPr>
              <w:t xml:space="preserve"> together with our own capacity as a Systematic Internaliser, we will adhere to the following principles according to the type of order that we are trying to execute:</w:t>
            </w:r>
          </w:p>
          <w:p w14:paraId="57B222BB" w14:textId="77777777" w:rsidR="0071029D" w:rsidRPr="0071029D" w:rsidRDefault="0071029D" w:rsidP="0071029D">
            <w:pPr>
              <w:numPr>
                <w:ilvl w:val="0"/>
                <w:numId w:val="2"/>
              </w:numPr>
              <w:spacing w:after="120" w:line="264" w:lineRule="auto"/>
              <w:ind w:left="990"/>
              <w:contextualSpacing/>
              <w:jc w:val="both"/>
              <w:rPr>
                <w:rFonts w:ascii="Calibri" w:eastAsia="LF_Kai" w:hAnsi="Calibri" w:cs="Calibri"/>
                <w:color w:val="000000"/>
                <w:sz w:val="18"/>
                <w:szCs w:val="18"/>
                <w:lang w:eastAsia="zh-CN" w:bidi="yi-Hebr"/>
              </w:rPr>
            </w:pPr>
            <w:r w:rsidRPr="0071029D">
              <w:rPr>
                <w:rFonts w:ascii="Calibri" w:eastAsia="LF_Kai" w:hAnsi="Calibri" w:cs="Calibri"/>
                <w:i/>
                <w:color w:val="000000"/>
                <w:sz w:val="18"/>
                <w:szCs w:val="18"/>
                <w:lang w:eastAsia="zh-CN" w:bidi="yi-Hebr"/>
              </w:rPr>
              <w:t>marketable</w:t>
            </w:r>
            <w:r w:rsidRPr="0071029D">
              <w:rPr>
                <w:rFonts w:ascii="Calibri" w:eastAsia="LF_Kai" w:hAnsi="Calibri" w:cs="Calibri"/>
                <w:color w:val="000000"/>
                <w:sz w:val="18"/>
                <w:szCs w:val="18"/>
                <w:lang w:eastAsia="zh-CN" w:bidi="yi-Hebr"/>
              </w:rPr>
              <w:t xml:space="preserve"> </w:t>
            </w:r>
            <w:r w:rsidRPr="0071029D">
              <w:rPr>
                <w:rFonts w:ascii="Calibri" w:eastAsia="LF_Kai" w:hAnsi="Calibri" w:cs="Calibri"/>
                <w:i/>
                <w:color w:val="000000"/>
                <w:sz w:val="18"/>
                <w:szCs w:val="18"/>
                <w:lang w:eastAsia="zh-CN" w:bidi="yi-Hebr"/>
              </w:rPr>
              <w:t>orders</w:t>
            </w:r>
            <w:r w:rsidRPr="0071029D">
              <w:rPr>
                <w:rFonts w:ascii="Calibri" w:eastAsia="LF_Kai" w:hAnsi="Calibri" w:cs="Calibri"/>
                <w:color w:val="000000"/>
                <w:sz w:val="18"/>
                <w:szCs w:val="18"/>
                <w:lang w:eastAsia="zh-CN" w:bidi="yi-Hebr"/>
              </w:rPr>
              <w:t>: our objective is to achieve the best price</w:t>
            </w:r>
            <w:r w:rsidRPr="0071029D">
              <w:rPr>
                <w:rFonts w:ascii="Calibri" w:eastAsia="LF_Kai" w:hAnsi="Calibri" w:cs="Calibri"/>
                <w:color w:val="000000"/>
                <w:sz w:val="18"/>
                <w:szCs w:val="18"/>
                <w:vertAlign w:val="superscript"/>
                <w:lang w:eastAsia="zh-CN" w:bidi="yi-Hebr"/>
              </w:rPr>
              <w:footnoteReference w:id="2"/>
            </w:r>
            <w:r w:rsidRPr="0071029D">
              <w:rPr>
                <w:rFonts w:ascii="Calibri" w:eastAsia="LF_Kai" w:hAnsi="Calibri" w:cs="Calibri"/>
                <w:color w:val="000000"/>
                <w:sz w:val="18"/>
                <w:szCs w:val="18"/>
                <w:lang w:eastAsia="zh-CN" w:bidi="yi-Hebr"/>
              </w:rPr>
              <w:t xml:space="preserve"> whilst minimizing the chance of adverse price movements around the time of execution and maximizing the speed and likelihood of execution. We may take into account the cost of execution provided that it is not to the detriment of the other factors.</w:t>
            </w:r>
          </w:p>
          <w:p w14:paraId="67EB4D40" w14:textId="77777777" w:rsidR="0071029D" w:rsidRPr="0071029D" w:rsidRDefault="0071029D" w:rsidP="0071029D">
            <w:pPr>
              <w:numPr>
                <w:ilvl w:val="0"/>
                <w:numId w:val="2"/>
              </w:numPr>
              <w:spacing w:after="120" w:line="264" w:lineRule="auto"/>
              <w:ind w:left="990"/>
              <w:contextualSpacing/>
              <w:jc w:val="both"/>
              <w:rPr>
                <w:rFonts w:ascii="Calibri" w:eastAsia="LF_Kai" w:hAnsi="Calibri" w:cs="Calibri"/>
                <w:color w:val="000000"/>
                <w:sz w:val="18"/>
                <w:szCs w:val="18"/>
                <w:lang w:eastAsia="zh-CN" w:bidi="yi-Hebr"/>
              </w:rPr>
            </w:pPr>
            <w:r w:rsidRPr="0071029D">
              <w:rPr>
                <w:rFonts w:ascii="Calibri" w:eastAsia="LF_Kai" w:hAnsi="Calibri" w:cs="Calibri"/>
                <w:i/>
                <w:color w:val="000000"/>
                <w:sz w:val="18"/>
                <w:szCs w:val="18"/>
                <w:lang w:eastAsia="zh-CN" w:bidi="yi-Hebr"/>
              </w:rPr>
              <w:t>non-marketable orders</w:t>
            </w:r>
            <w:r w:rsidRPr="0071029D">
              <w:rPr>
                <w:rFonts w:ascii="Calibri" w:eastAsia="LF_Kai" w:hAnsi="Calibri" w:cs="Calibri"/>
                <w:color w:val="000000"/>
                <w:sz w:val="18"/>
                <w:szCs w:val="18"/>
                <w:lang w:eastAsia="zh-CN" w:bidi="yi-Hebr"/>
              </w:rPr>
              <w:t xml:space="preserve"> on </w:t>
            </w:r>
            <w:r w:rsidRPr="0071029D">
              <w:rPr>
                <w:rFonts w:ascii="Calibri" w:eastAsia="LF_Kai" w:hAnsi="Calibri" w:cs="Calibri"/>
                <w:i/>
                <w:color w:val="000000"/>
                <w:sz w:val="18"/>
                <w:szCs w:val="18"/>
                <w:lang w:eastAsia="zh-CN" w:bidi="yi-Hebr"/>
              </w:rPr>
              <w:t>displayed execution</w:t>
            </w:r>
            <w:r w:rsidRPr="0071029D">
              <w:rPr>
                <w:rFonts w:ascii="Calibri" w:eastAsia="LF_Kai" w:hAnsi="Calibri" w:cs="Calibri"/>
                <w:color w:val="000000"/>
                <w:sz w:val="18"/>
                <w:szCs w:val="18"/>
                <w:lang w:eastAsia="zh-CN" w:bidi="yi-Hebr"/>
              </w:rPr>
              <w:t xml:space="preserve"> venues: we consider that the price of the execution is set and our choice of venue will be determined by maximizing both the speed and likelihood of execution only.</w:t>
            </w:r>
          </w:p>
          <w:p w14:paraId="48FF90FA" w14:textId="77777777" w:rsidR="0071029D" w:rsidRPr="0071029D" w:rsidRDefault="0071029D" w:rsidP="0071029D">
            <w:pPr>
              <w:numPr>
                <w:ilvl w:val="0"/>
                <w:numId w:val="2"/>
              </w:numPr>
              <w:spacing w:after="120" w:line="264" w:lineRule="auto"/>
              <w:ind w:left="990"/>
              <w:contextualSpacing/>
              <w:jc w:val="both"/>
              <w:rPr>
                <w:rFonts w:ascii="Calibri" w:eastAsia="LF_Kai" w:hAnsi="Calibri" w:cs="Calibri"/>
                <w:color w:val="000000"/>
                <w:sz w:val="18"/>
                <w:szCs w:val="18"/>
                <w:lang w:eastAsia="zh-CN" w:bidi="yi-Hebr"/>
              </w:rPr>
            </w:pPr>
            <w:r w:rsidRPr="0071029D">
              <w:rPr>
                <w:rFonts w:ascii="Calibri" w:eastAsia="LF_Kai" w:hAnsi="Calibri" w:cs="Calibri"/>
                <w:color w:val="000000"/>
                <w:sz w:val="18"/>
                <w:szCs w:val="18"/>
                <w:lang w:eastAsia="zh-CN" w:bidi="yi-Hebr"/>
              </w:rPr>
              <w:t xml:space="preserve">orders across a range of </w:t>
            </w:r>
            <w:r w:rsidRPr="0071029D">
              <w:rPr>
                <w:rFonts w:ascii="Calibri" w:eastAsia="LF_Kai" w:hAnsi="Calibri" w:cs="Calibri"/>
                <w:i/>
                <w:color w:val="000000"/>
                <w:sz w:val="18"/>
                <w:szCs w:val="18"/>
                <w:lang w:eastAsia="zh-CN" w:bidi="yi-Hebr"/>
              </w:rPr>
              <w:t xml:space="preserve">non-displayed, </w:t>
            </w:r>
            <w:r w:rsidRPr="0071029D">
              <w:rPr>
                <w:rFonts w:ascii="Calibri" w:eastAsia="LF_Kai" w:hAnsi="Calibri" w:cs="Calibri"/>
                <w:color w:val="000000"/>
                <w:sz w:val="18"/>
                <w:szCs w:val="18"/>
                <w:lang w:eastAsia="zh-CN" w:bidi="yi-Hebr"/>
              </w:rPr>
              <w:t>or</w:t>
            </w:r>
            <w:r w:rsidRPr="0071029D">
              <w:rPr>
                <w:rFonts w:ascii="Calibri" w:eastAsia="LF_Kai" w:hAnsi="Calibri" w:cs="Calibri"/>
                <w:i/>
                <w:color w:val="000000"/>
                <w:sz w:val="18"/>
                <w:szCs w:val="18"/>
                <w:lang w:eastAsia="zh-CN" w:bidi="yi-Hebr"/>
              </w:rPr>
              <w:t xml:space="preserve"> periodic-auction </w:t>
            </w:r>
            <w:r w:rsidRPr="0071029D">
              <w:rPr>
                <w:rFonts w:ascii="Calibri" w:eastAsia="LF_Kai" w:hAnsi="Calibri" w:cs="Calibri"/>
                <w:color w:val="000000"/>
                <w:sz w:val="18"/>
                <w:szCs w:val="18"/>
                <w:lang w:eastAsia="zh-CN" w:bidi="yi-Hebr"/>
              </w:rPr>
              <w:t xml:space="preserve">venues: our priority will be to maximize the speed and likelihood of execution whilst also minimizing the chance that there are adverse price movements around the time of execution. The goal of minimizing adverse price movements may result in preferencing </w:t>
            </w:r>
            <w:r w:rsidRPr="0071029D">
              <w:rPr>
                <w:rFonts w:ascii="Calibri" w:eastAsia="LF_Kai" w:hAnsi="Calibri" w:cs="Calibri"/>
                <w:i/>
                <w:color w:val="000000"/>
                <w:sz w:val="18"/>
                <w:szCs w:val="18"/>
                <w:lang w:eastAsia="zh-CN" w:bidi="yi-Hebr"/>
              </w:rPr>
              <w:t>internalisation</w:t>
            </w:r>
            <w:r w:rsidRPr="0071029D">
              <w:rPr>
                <w:rFonts w:ascii="Calibri" w:eastAsia="LF_Kai" w:hAnsi="Calibri" w:cs="Calibri"/>
                <w:color w:val="000000"/>
                <w:sz w:val="18"/>
                <w:szCs w:val="18"/>
                <w:lang w:eastAsia="zh-CN" w:bidi="yi-Hebr"/>
              </w:rPr>
              <w:t>.</w:t>
            </w:r>
          </w:p>
          <w:p w14:paraId="0F69A2E9" w14:textId="10A5FC2A" w:rsidR="0071029D" w:rsidRPr="0071029D" w:rsidRDefault="0071029D" w:rsidP="0071029D">
            <w:pPr>
              <w:jc w:val="both"/>
              <w:rPr>
                <w:rFonts w:ascii="Calibri" w:eastAsia="Calibri" w:hAnsi="Calibri" w:cs="Calibri"/>
                <w:color w:val="000000"/>
                <w:sz w:val="18"/>
                <w:szCs w:val="18"/>
              </w:rPr>
            </w:pPr>
            <w:r w:rsidRPr="0071029D">
              <w:rPr>
                <w:rFonts w:ascii="Calibri" w:eastAsia="Calibri" w:hAnsi="Calibri" w:cs="Calibri"/>
                <w:color w:val="000000"/>
                <w:sz w:val="18"/>
                <w:szCs w:val="18"/>
              </w:rPr>
              <w:t xml:space="preserve">Please refer to our </w:t>
            </w:r>
            <w:hyperlink r:id="rId34" w:history="1">
              <w:r w:rsidR="00B550B4">
                <w:rPr>
                  <w:rFonts w:ascii="Calibri" w:eastAsia="Calibri" w:hAnsi="Calibri" w:cs="Calibri"/>
                  <w:color w:val="000000"/>
                  <w:sz w:val="18"/>
                  <w:szCs w:val="18"/>
                  <w:u w:val="single"/>
                </w:rPr>
                <w:t>J.P. Morgan EMEA Cash Equities: Execution Policy</w:t>
              </w:r>
            </w:hyperlink>
            <w:r w:rsidRPr="0071029D">
              <w:rPr>
                <w:rFonts w:ascii="Calibri" w:eastAsia="Calibri" w:hAnsi="Calibri" w:cs="Calibri"/>
                <w:color w:val="000000"/>
                <w:sz w:val="18"/>
                <w:szCs w:val="18"/>
              </w:rPr>
              <w:t xml:space="preserve"> for further information on factors affecting our choice of execution venues.</w:t>
            </w:r>
          </w:p>
          <w:p w14:paraId="629B812F" w14:textId="77777777" w:rsidR="0071029D" w:rsidRPr="0071029D" w:rsidRDefault="0071029D" w:rsidP="0071029D">
            <w:pPr>
              <w:jc w:val="both"/>
              <w:rPr>
                <w:rFonts w:ascii="Arial" w:eastAsia="LF_Kai" w:hAnsi="Arial" w:cs="Arial"/>
                <w:color w:val="000000"/>
                <w:sz w:val="18"/>
                <w:szCs w:val="18"/>
                <w:lang w:eastAsia="zh-CN" w:bidi="yi-Hebr"/>
              </w:rPr>
            </w:pPr>
          </w:p>
        </w:tc>
      </w:tr>
      <w:tr w:rsidR="0071029D" w:rsidRPr="0071029D" w14:paraId="4BFBBBA8" w14:textId="77777777" w:rsidTr="000E3A78">
        <w:tc>
          <w:tcPr>
            <w:tcW w:w="4410" w:type="dxa"/>
            <w:tcBorders>
              <w:left w:val="single" w:sz="12" w:space="0" w:color="auto"/>
            </w:tcBorders>
            <w:shd w:val="clear" w:color="auto" w:fill="D9D9D9"/>
          </w:tcPr>
          <w:p w14:paraId="62FDCCFB" w14:textId="77777777" w:rsidR="0071029D" w:rsidRPr="0071029D" w:rsidRDefault="0071029D" w:rsidP="0071029D">
            <w:pPr>
              <w:rPr>
                <w:rFonts w:ascii="Calibri" w:eastAsia="Calibri" w:hAnsi="Calibri" w:cs="Times New Roman"/>
                <w:sz w:val="18"/>
                <w:szCs w:val="18"/>
              </w:rPr>
            </w:pPr>
            <w:r w:rsidRPr="0071029D">
              <w:rPr>
                <w:rFonts w:ascii="Calibri" w:eastAsia="Calibri" w:hAnsi="Calibri" w:cs="Times New Roman"/>
                <w:sz w:val="18"/>
                <w:szCs w:val="18"/>
              </w:rPr>
              <w:t>Execution venue close links / conflicts of interest / common ownerships</w:t>
            </w:r>
          </w:p>
        </w:tc>
        <w:tc>
          <w:tcPr>
            <w:tcW w:w="9990" w:type="dxa"/>
            <w:tcBorders>
              <w:right w:val="single" w:sz="12" w:space="0" w:color="auto"/>
            </w:tcBorders>
          </w:tcPr>
          <w:p w14:paraId="3DADB4BE" w14:textId="77777777" w:rsidR="0071029D" w:rsidRPr="0071029D" w:rsidRDefault="0071029D" w:rsidP="0071029D">
            <w:pPr>
              <w:rPr>
                <w:rFonts w:ascii="Calibri" w:eastAsia="Calibri" w:hAnsi="Calibri" w:cs="Calibri"/>
                <w:sz w:val="18"/>
                <w:szCs w:val="18"/>
              </w:rPr>
            </w:pPr>
            <w:r w:rsidRPr="0071029D">
              <w:rPr>
                <w:rFonts w:ascii="Calibri" w:eastAsia="Calibri" w:hAnsi="Calibri" w:cs="Calibri"/>
                <w:sz w:val="18"/>
                <w:szCs w:val="18"/>
              </w:rPr>
              <w:t xml:space="preserve">J.P. Morgan Financial Investments Limited </w:t>
            </w:r>
            <w:r w:rsidRPr="0071029D">
              <w:rPr>
                <w:rFonts w:ascii="Calibri" w:eastAsia="Calibri" w:hAnsi="Calibri" w:cs="Calibri"/>
                <w:color w:val="000000"/>
                <w:sz w:val="18"/>
                <w:szCs w:val="18"/>
              </w:rPr>
              <w:t xml:space="preserve">has a stake (of 2.4%) in Turquoise Global Holdings Limited which owns the trading venue </w:t>
            </w:r>
            <w:r w:rsidRPr="0071029D">
              <w:rPr>
                <w:rFonts w:ascii="Calibri" w:eastAsia="Calibri" w:hAnsi="Calibri" w:cs="Calibri"/>
                <w:i/>
                <w:color w:val="000000"/>
                <w:sz w:val="18"/>
                <w:szCs w:val="18"/>
              </w:rPr>
              <w:t>Turquoise</w:t>
            </w:r>
            <w:r w:rsidRPr="0071029D">
              <w:rPr>
                <w:rFonts w:ascii="Calibri" w:eastAsia="Calibri" w:hAnsi="Calibri" w:cs="Calibri"/>
                <w:color w:val="000000"/>
                <w:sz w:val="18"/>
                <w:szCs w:val="18"/>
              </w:rPr>
              <w:t>.  J.P. Morgan Securities plc is a fully owned subsidiary of JPMorgan Chase &amp; Co. (J.P. Morgan)</w:t>
            </w:r>
          </w:p>
        </w:tc>
      </w:tr>
      <w:tr w:rsidR="0071029D" w:rsidRPr="0071029D" w14:paraId="19BD5BBE" w14:textId="77777777" w:rsidTr="000E3A78">
        <w:tc>
          <w:tcPr>
            <w:tcW w:w="4410" w:type="dxa"/>
            <w:tcBorders>
              <w:left w:val="single" w:sz="12" w:space="0" w:color="auto"/>
            </w:tcBorders>
            <w:shd w:val="clear" w:color="auto" w:fill="D9D9D9"/>
          </w:tcPr>
          <w:p w14:paraId="135B05AF" w14:textId="77777777" w:rsidR="0071029D" w:rsidRPr="0071029D" w:rsidRDefault="0071029D" w:rsidP="0071029D">
            <w:pPr>
              <w:rPr>
                <w:rFonts w:ascii="Calibri" w:eastAsia="Calibri" w:hAnsi="Calibri" w:cs="Times New Roman"/>
                <w:sz w:val="18"/>
                <w:szCs w:val="18"/>
              </w:rPr>
            </w:pPr>
            <w:r w:rsidRPr="0071029D">
              <w:rPr>
                <w:rFonts w:ascii="Calibri" w:eastAsia="Calibri" w:hAnsi="Calibri" w:cs="Times New Roman"/>
                <w:sz w:val="18"/>
                <w:szCs w:val="18"/>
              </w:rPr>
              <w:t>Specific execution venue arrangements</w:t>
            </w:r>
          </w:p>
        </w:tc>
        <w:tc>
          <w:tcPr>
            <w:tcW w:w="9990" w:type="dxa"/>
            <w:tcBorders>
              <w:right w:val="single" w:sz="12" w:space="0" w:color="auto"/>
            </w:tcBorders>
          </w:tcPr>
          <w:p w14:paraId="25F5C266" w14:textId="77777777" w:rsidR="0071029D" w:rsidRPr="0071029D" w:rsidRDefault="0071029D" w:rsidP="0071029D">
            <w:pPr>
              <w:spacing w:after="120"/>
              <w:rPr>
                <w:rFonts w:ascii="Calibri" w:eastAsia="Calibri" w:hAnsi="Calibri" w:cs="Calibri"/>
                <w:color w:val="000000"/>
                <w:sz w:val="18"/>
                <w:szCs w:val="18"/>
              </w:rPr>
            </w:pPr>
            <w:r w:rsidRPr="0071029D">
              <w:rPr>
                <w:rFonts w:ascii="Calibri" w:eastAsia="Calibri" w:hAnsi="Calibri" w:cs="Calibri"/>
                <w:color w:val="000000"/>
                <w:sz w:val="18"/>
                <w:szCs w:val="18"/>
              </w:rPr>
              <w:t>Regarding payments made or received, discounts, rebates or non-monetary benefits received:</w:t>
            </w:r>
          </w:p>
          <w:p w14:paraId="602F82E4" w14:textId="77777777" w:rsidR="0071029D" w:rsidRPr="0071029D" w:rsidRDefault="0071029D" w:rsidP="0071029D">
            <w:pPr>
              <w:spacing w:after="120"/>
              <w:rPr>
                <w:rFonts w:ascii="Calibri" w:eastAsia="Calibri" w:hAnsi="Calibri" w:cs="Calibri"/>
                <w:color w:val="000000"/>
                <w:sz w:val="18"/>
                <w:szCs w:val="18"/>
              </w:rPr>
            </w:pPr>
            <w:r w:rsidRPr="0071029D">
              <w:rPr>
                <w:rFonts w:ascii="Calibri" w:eastAsia="Calibri" w:hAnsi="Calibri" w:cs="Calibri"/>
                <w:color w:val="000000"/>
                <w:sz w:val="18"/>
                <w:szCs w:val="18"/>
              </w:rPr>
              <w:t>J.P. Morgan does not have any specific arrangements with any trading venues other than standard publicly available terms.  Where J.P. Morgan contracts with execution venues, it may negotiate specific commercial terms bilaterally with those venues but those terms will not include being compensated directly or in-directly for business given to those venues.</w:t>
            </w:r>
          </w:p>
        </w:tc>
      </w:tr>
      <w:tr w:rsidR="0071029D" w:rsidRPr="0071029D" w14:paraId="362EBF87" w14:textId="77777777" w:rsidTr="0071029D">
        <w:tc>
          <w:tcPr>
            <w:tcW w:w="4410" w:type="dxa"/>
            <w:shd w:val="clear" w:color="auto" w:fill="D9D9D9"/>
          </w:tcPr>
          <w:p w14:paraId="1075459E" w14:textId="77777777" w:rsidR="0071029D" w:rsidRPr="0071029D" w:rsidRDefault="0071029D" w:rsidP="0071029D">
            <w:pPr>
              <w:rPr>
                <w:rFonts w:ascii="Calibri" w:eastAsia="Calibri" w:hAnsi="Calibri" w:cs="Times New Roman"/>
                <w:sz w:val="18"/>
                <w:szCs w:val="18"/>
              </w:rPr>
            </w:pPr>
            <w:r w:rsidRPr="0071029D">
              <w:rPr>
                <w:rFonts w:ascii="Calibri" w:eastAsia="Calibri" w:hAnsi="Calibri" w:cs="Times New Roman"/>
                <w:sz w:val="18"/>
                <w:szCs w:val="18"/>
              </w:rPr>
              <w:t>Changes to execution venues</w:t>
            </w:r>
          </w:p>
        </w:tc>
        <w:tc>
          <w:tcPr>
            <w:tcW w:w="9990" w:type="dxa"/>
          </w:tcPr>
          <w:p w14:paraId="7DFC7DB6" w14:textId="77777777" w:rsidR="0071029D" w:rsidRPr="0071029D" w:rsidRDefault="0071029D" w:rsidP="0071029D">
            <w:pPr>
              <w:spacing w:after="120"/>
              <w:rPr>
                <w:rFonts w:ascii="Calibri" w:eastAsia="Calibri" w:hAnsi="Calibri" w:cs="Calibri"/>
                <w:sz w:val="18"/>
                <w:szCs w:val="18"/>
              </w:rPr>
            </w:pPr>
            <w:r w:rsidRPr="0071029D">
              <w:rPr>
                <w:rFonts w:ascii="Calibri" w:eastAsia="Calibri" w:hAnsi="Calibri" w:cs="Calibri"/>
                <w:sz w:val="18"/>
                <w:szCs w:val="18"/>
              </w:rPr>
              <w:t>In 2020 we added several venues to the list of significant venues cited within our execution policy.  In particular, the following venues were also  added to further improve access to liquidity:</w:t>
            </w:r>
          </w:p>
          <w:p w14:paraId="5A6F9B9D" w14:textId="77777777" w:rsidR="0071029D" w:rsidRPr="0071029D" w:rsidRDefault="0071029D" w:rsidP="0071029D">
            <w:pPr>
              <w:numPr>
                <w:ilvl w:val="0"/>
                <w:numId w:val="2"/>
              </w:numPr>
              <w:spacing w:after="120"/>
              <w:ind w:left="990"/>
              <w:contextualSpacing/>
              <w:rPr>
                <w:rFonts w:ascii="Calibri" w:eastAsia="Calibri" w:hAnsi="Calibri" w:cs="Calibri"/>
                <w:sz w:val="18"/>
                <w:szCs w:val="18"/>
              </w:rPr>
            </w:pPr>
            <w:r w:rsidRPr="0071029D">
              <w:rPr>
                <w:rFonts w:ascii="Calibri" w:eastAsia="Calibri" w:hAnsi="Calibri" w:cs="Calibri"/>
                <w:sz w:val="18"/>
                <w:szCs w:val="18"/>
              </w:rPr>
              <w:t>J.P.Morgan Securities PLC (addition of Close Cross service)</w:t>
            </w:r>
          </w:p>
          <w:p w14:paraId="06B1B07A" w14:textId="77777777" w:rsidR="0071029D" w:rsidRPr="0071029D" w:rsidRDefault="0071029D" w:rsidP="0071029D">
            <w:pPr>
              <w:numPr>
                <w:ilvl w:val="0"/>
                <w:numId w:val="2"/>
              </w:numPr>
              <w:spacing w:after="120"/>
              <w:ind w:left="990"/>
              <w:contextualSpacing/>
              <w:rPr>
                <w:rFonts w:ascii="Calibri" w:eastAsia="Calibri" w:hAnsi="Calibri" w:cs="Times New Roman"/>
                <w:sz w:val="18"/>
                <w:szCs w:val="18"/>
              </w:rPr>
            </w:pPr>
            <w:r w:rsidRPr="0071029D">
              <w:rPr>
                <w:rFonts w:ascii="Calibri" w:eastAsia="Calibri" w:hAnsi="Calibri" w:cs="Calibri"/>
                <w:sz w:val="18"/>
                <w:szCs w:val="18"/>
              </w:rPr>
              <w:lastRenderedPageBreak/>
              <w:t>Jump Trading B.V.</w:t>
            </w:r>
          </w:p>
          <w:p w14:paraId="69CBF503" w14:textId="77777777" w:rsidR="0071029D" w:rsidRPr="0071029D" w:rsidRDefault="0071029D" w:rsidP="0071029D">
            <w:pPr>
              <w:rPr>
                <w:rFonts w:ascii="Calibri" w:eastAsia="Calibri" w:hAnsi="Calibri" w:cs="Calibri"/>
                <w:sz w:val="18"/>
                <w:szCs w:val="18"/>
              </w:rPr>
            </w:pPr>
            <w:r w:rsidRPr="0071029D">
              <w:rPr>
                <w:rFonts w:ascii="Calibri" w:eastAsia="Calibri" w:hAnsi="Calibri" w:cs="Calibri"/>
                <w:sz w:val="18"/>
                <w:szCs w:val="18"/>
              </w:rPr>
              <w:t>We also added access to the EEA operations of some relevant existing venues in preparation for the departure of the United Kingdom from the European Union.  As part of these Brexit preparations, we added access to the following venues:</w:t>
            </w:r>
          </w:p>
          <w:p w14:paraId="508352E0" w14:textId="77777777" w:rsidR="0071029D" w:rsidRPr="0071029D" w:rsidRDefault="0071029D" w:rsidP="0071029D">
            <w:pPr>
              <w:numPr>
                <w:ilvl w:val="0"/>
                <w:numId w:val="2"/>
              </w:numPr>
              <w:spacing w:after="120"/>
              <w:ind w:left="990"/>
              <w:contextualSpacing/>
              <w:rPr>
                <w:rFonts w:ascii="Calibri" w:eastAsia="Calibri" w:hAnsi="Calibri" w:cs="Calibri"/>
                <w:sz w:val="18"/>
                <w:szCs w:val="18"/>
              </w:rPr>
            </w:pPr>
            <w:proofErr w:type="spellStart"/>
            <w:r w:rsidRPr="0071029D">
              <w:rPr>
                <w:rFonts w:ascii="Calibri" w:eastAsia="Calibri" w:hAnsi="Calibri" w:cs="Calibri"/>
                <w:sz w:val="18"/>
                <w:szCs w:val="18"/>
              </w:rPr>
              <w:t>Cboe</w:t>
            </w:r>
            <w:proofErr w:type="spellEnd"/>
            <w:r w:rsidRPr="0071029D">
              <w:rPr>
                <w:rFonts w:ascii="Calibri" w:eastAsia="Calibri" w:hAnsi="Calibri" w:cs="Calibri"/>
                <w:sz w:val="18"/>
                <w:szCs w:val="18"/>
              </w:rPr>
              <w:t xml:space="preserve"> BXE (Closing Cross)</w:t>
            </w:r>
          </w:p>
          <w:p w14:paraId="590F2C99" w14:textId="77777777" w:rsidR="0071029D" w:rsidRPr="0071029D" w:rsidRDefault="0071029D" w:rsidP="0071029D">
            <w:pPr>
              <w:rPr>
                <w:rFonts w:ascii="Calibri" w:eastAsia="Calibri" w:hAnsi="Calibri" w:cs="Times New Roman"/>
              </w:rPr>
            </w:pPr>
          </w:p>
        </w:tc>
      </w:tr>
      <w:tr w:rsidR="0071029D" w:rsidRPr="0071029D" w14:paraId="6447222A" w14:textId="77777777" w:rsidTr="0071029D">
        <w:tc>
          <w:tcPr>
            <w:tcW w:w="4410" w:type="dxa"/>
            <w:shd w:val="clear" w:color="auto" w:fill="D9D9D9"/>
          </w:tcPr>
          <w:p w14:paraId="3A765EA2" w14:textId="77777777" w:rsidR="0071029D" w:rsidRPr="0071029D" w:rsidRDefault="0071029D" w:rsidP="0071029D">
            <w:pPr>
              <w:rPr>
                <w:rFonts w:ascii="Calibri" w:eastAsia="Calibri" w:hAnsi="Calibri" w:cs="Times New Roman"/>
                <w:sz w:val="18"/>
                <w:szCs w:val="18"/>
              </w:rPr>
            </w:pPr>
            <w:r w:rsidRPr="0071029D">
              <w:rPr>
                <w:rFonts w:ascii="Calibri" w:eastAsia="Calibri" w:hAnsi="Calibri" w:cs="Times New Roman"/>
                <w:sz w:val="18"/>
                <w:szCs w:val="18"/>
              </w:rPr>
              <w:lastRenderedPageBreak/>
              <w:t>Client distinctions</w:t>
            </w:r>
          </w:p>
        </w:tc>
        <w:tc>
          <w:tcPr>
            <w:tcW w:w="9990" w:type="dxa"/>
          </w:tcPr>
          <w:p w14:paraId="6A19365B" w14:textId="77777777" w:rsidR="0071029D" w:rsidRPr="0071029D" w:rsidRDefault="0071029D" w:rsidP="0071029D">
            <w:pPr>
              <w:spacing w:after="120"/>
              <w:rPr>
                <w:rFonts w:ascii="Calibri" w:eastAsia="Calibri" w:hAnsi="Calibri" w:cs="Times New Roman"/>
                <w:sz w:val="18"/>
                <w:szCs w:val="18"/>
              </w:rPr>
            </w:pPr>
            <w:r w:rsidRPr="0071029D">
              <w:rPr>
                <w:rFonts w:ascii="Calibri" w:eastAsia="Calibri" w:hAnsi="Calibri" w:cs="Times New Roman"/>
                <w:sz w:val="18"/>
                <w:szCs w:val="18"/>
              </w:rPr>
              <w:t>We do not operate differing execution arrangements by client categorisation.</w:t>
            </w:r>
          </w:p>
        </w:tc>
      </w:tr>
      <w:tr w:rsidR="0071029D" w:rsidRPr="0071029D" w14:paraId="7CE56943" w14:textId="77777777" w:rsidTr="0071029D">
        <w:tc>
          <w:tcPr>
            <w:tcW w:w="4410" w:type="dxa"/>
            <w:shd w:val="clear" w:color="auto" w:fill="D9D9D9"/>
          </w:tcPr>
          <w:p w14:paraId="17F68EAF" w14:textId="77777777" w:rsidR="0071029D" w:rsidRPr="0071029D" w:rsidRDefault="0071029D" w:rsidP="0071029D">
            <w:pPr>
              <w:rPr>
                <w:rFonts w:ascii="Calibri" w:eastAsia="Calibri" w:hAnsi="Calibri" w:cs="Times New Roman"/>
                <w:sz w:val="18"/>
                <w:szCs w:val="18"/>
              </w:rPr>
            </w:pPr>
            <w:r w:rsidRPr="0071029D">
              <w:rPr>
                <w:rFonts w:ascii="Calibri" w:eastAsia="Calibri" w:hAnsi="Calibri" w:cs="Times New Roman"/>
                <w:sz w:val="18"/>
                <w:szCs w:val="18"/>
              </w:rPr>
              <w:t>Use of data/tools relating to the quality of execution</w:t>
            </w:r>
          </w:p>
          <w:p w14:paraId="68CC98DA" w14:textId="77777777" w:rsidR="0071029D" w:rsidRPr="0071029D" w:rsidRDefault="0071029D" w:rsidP="0071029D">
            <w:pPr>
              <w:rPr>
                <w:rFonts w:ascii="Calibri" w:eastAsia="Calibri" w:hAnsi="Calibri" w:cs="Times New Roman"/>
                <w:sz w:val="18"/>
                <w:szCs w:val="18"/>
              </w:rPr>
            </w:pPr>
          </w:p>
        </w:tc>
        <w:tc>
          <w:tcPr>
            <w:tcW w:w="9990" w:type="dxa"/>
          </w:tcPr>
          <w:p w14:paraId="0C10D5C4" w14:textId="77777777" w:rsidR="0071029D" w:rsidRPr="0071029D" w:rsidRDefault="0071029D" w:rsidP="0071029D">
            <w:pPr>
              <w:spacing w:after="120"/>
              <w:rPr>
                <w:rFonts w:ascii="Calibri" w:eastAsia="Calibri" w:hAnsi="Calibri" w:cs="Times New Roman"/>
                <w:sz w:val="18"/>
                <w:szCs w:val="18"/>
              </w:rPr>
            </w:pPr>
            <w:r w:rsidRPr="0071029D">
              <w:rPr>
                <w:rFonts w:ascii="Calibri" w:eastAsia="Calibri" w:hAnsi="Calibri" w:cs="Times New Roman"/>
                <w:sz w:val="18"/>
                <w:szCs w:val="18"/>
              </w:rPr>
              <w:t>We have used group-level transaction cost analysis technology in our analysis.</w:t>
            </w:r>
          </w:p>
        </w:tc>
      </w:tr>
      <w:tr w:rsidR="0071029D" w:rsidRPr="0071029D" w14:paraId="3F05C1AF" w14:textId="77777777" w:rsidTr="0071029D">
        <w:tc>
          <w:tcPr>
            <w:tcW w:w="4410" w:type="dxa"/>
            <w:shd w:val="clear" w:color="auto" w:fill="D9D9D9"/>
          </w:tcPr>
          <w:p w14:paraId="08041DDD" w14:textId="77777777" w:rsidR="0071029D" w:rsidRPr="0071029D" w:rsidRDefault="0071029D" w:rsidP="0071029D">
            <w:pPr>
              <w:rPr>
                <w:rFonts w:ascii="Calibri" w:eastAsia="Calibri" w:hAnsi="Calibri" w:cs="Times New Roman"/>
                <w:sz w:val="18"/>
                <w:szCs w:val="18"/>
              </w:rPr>
            </w:pPr>
            <w:r w:rsidRPr="0071029D">
              <w:rPr>
                <w:rFonts w:ascii="Calibri" w:eastAsia="Calibri" w:hAnsi="Calibri" w:cs="Times New Roman"/>
                <w:sz w:val="18"/>
                <w:szCs w:val="18"/>
              </w:rPr>
              <w:t>Use of consolidated tape provider output or other algorithms to assess execution performances</w:t>
            </w:r>
          </w:p>
        </w:tc>
        <w:tc>
          <w:tcPr>
            <w:tcW w:w="9990" w:type="dxa"/>
          </w:tcPr>
          <w:p w14:paraId="20FA57C4" w14:textId="77777777" w:rsidR="0071029D" w:rsidRPr="0071029D" w:rsidRDefault="0071029D" w:rsidP="0071029D">
            <w:pPr>
              <w:spacing w:after="120"/>
              <w:rPr>
                <w:rFonts w:ascii="Calibri" w:eastAsia="Calibri" w:hAnsi="Calibri" w:cs="Times New Roman"/>
                <w:sz w:val="18"/>
                <w:szCs w:val="18"/>
              </w:rPr>
            </w:pPr>
            <w:r w:rsidRPr="0071029D">
              <w:rPr>
                <w:rFonts w:ascii="Calibri" w:eastAsia="Calibri" w:hAnsi="Calibri" w:cs="Times New Roman"/>
                <w:sz w:val="18"/>
                <w:szCs w:val="18"/>
              </w:rPr>
              <w:t>Not Applicable</w:t>
            </w:r>
          </w:p>
        </w:tc>
      </w:tr>
    </w:tbl>
    <w:p w14:paraId="5D0B7302" w14:textId="1B480BFD" w:rsidR="00C37120" w:rsidRDefault="00C37120" w:rsidP="000B7F7D">
      <w:pPr>
        <w:rPr>
          <w:color w:val="FF0000"/>
          <w:sz w:val="18"/>
          <w:szCs w:val="18"/>
        </w:rPr>
      </w:pPr>
    </w:p>
    <w:p w14:paraId="3600B0D8" w14:textId="538D1054" w:rsidR="00C37120" w:rsidRDefault="00C37120" w:rsidP="000B7F7D">
      <w:pPr>
        <w:rPr>
          <w:color w:val="FF0000"/>
          <w:sz w:val="18"/>
          <w:szCs w:val="18"/>
        </w:rPr>
      </w:pPr>
    </w:p>
    <w:p w14:paraId="65B859C1" w14:textId="77777777" w:rsidR="00C37120" w:rsidRPr="002300EB" w:rsidRDefault="00C37120" w:rsidP="000B7F7D">
      <w:pPr>
        <w:rPr>
          <w:color w:val="FF0000"/>
          <w:sz w:val="18"/>
          <w:szCs w:val="18"/>
        </w:rPr>
      </w:pPr>
    </w:p>
    <w:sectPr w:rsidR="00C37120" w:rsidRPr="002300EB" w:rsidSect="00791919">
      <w:footerReference w:type="default" r:id="rId35"/>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79E9D6" w14:textId="77777777" w:rsidR="00EC6A54" w:rsidRDefault="00EC6A54" w:rsidP="00791919">
      <w:pPr>
        <w:spacing w:after="0" w:line="240" w:lineRule="auto"/>
      </w:pPr>
      <w:r>
        <w:separator/>
      </w:r>
    </w:p>
  </w:endnote>
  <w:endnote w:type="continuationSeparator" w:id="0">
    <w:p w14:paraId="68331460" w14:textId="77777777" w:rsidR="00EC6A54" w:rsidRDefault="00EC6A54"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F_Kai">
    <w:panose1 w:val="03000509000000000000"/>
    <w:charset w:val="86"/>
    <w:family w:val="script"/>
    <w:pitch w:val="fixed"/>
    <w:sig w:usb0="00000001" w:usb1="080E0000" w:usb2="00000010" w:usb3="00000000" w:csb0="001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A1074" w14:textId="59809293" w:rsidR="00791919" w:rsidRDefault="00AE3A3B">
    <w:pPr>
      <w:pStyle w:val="Footer"/>
    </w:pPr>
    <w:r w:rsidRPr="003932B3">
      <w:rPr>
        <w:sz w:val="18"/>
        <w:szCs w:val="18"/>
      </w:rPr>
      <w:t xml:space="preserve">J.P. Morgan Securities </w:t>
    </w:r>
    <w:r w:rsidR="00E94257">
      <w:rPr>
        <w:sz w:val="18"/>
        <w:szCs w:val="18"/>
      </w:rPr>
      <w:t>plc</w:t>
    </w:r>
    <w:r w:rsidRPr="003932B3">
      <w:rPr>
        <w:sz w:val="18"/>
        <w:szCs w:val="18"/>
      </w:rPr>
      <w:t xml:space="preserve"> (K6Q0W1PS1L1O4IQL9C32)</w:t>
    </w:r>
    <w:r w:rsidR="00791919">
      <w:rPr>
        <w:noProof/>
        <w:lang w:eastAsia="en-GB"/>
      </w:rPr>
      <mc:AlternateContent>
        <mc:Choice Requires="wps">
          <w:drawing>
            <wp:anchor distT="0" distB="0" distL="114300" distR="114300" simplePos="0" relativeHeight="251659264" behindDoc="0" locked="0" layoutInCell="1" allowOverlap="1" wp14:anchorId="0B5A1075" wp14:editId="0B5A1076">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0B5A107B" w14:textId="77777777"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B5A1075"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0B5A107B" w14:textId="77777777"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sidR="00791919">
      <w:rPr>
        <w:noProof/>
        <w:color w:val="4F81BD" w:themeColor="accent1"/>
        <w:lang w:eastAsia="en-GB"/>
      </w:rPr>
      <mc:AlternateContent>
        <mc:Choice Requires="wps">
          <w:drawing>
            <wp:anchor distT="91440" distB="91440" distL="114300" distR="114300" simplePos="0" relativeHeight="251660288" behindDoc="1" locked="0" layoutInCell="1" allowOverlap="1" wp14:anchorId="0B5A1077" wp14:editId="0B5A1078">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1D5F99C9"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EB18D8" w14:textId="77777777" w:rsidR="00EC6A54" w:rsidRDefault="00EC6A54" w:rsidP="00791919">
      <w:pPr>
        <w:spacing w:after="0" w:line="240" w:lineRule="auto"/>
      </w:pPr>
      <w:r>
        <w:separator/>
      </w:r>
    </w:p>
  </w:footnote>
  <w:footnote w:type="continuationSeparator" w:id="0">
    <w:p w14:paraId="306572F1" w14:textId="77777777" w:rsidR="00EC6A54" w:rsidRDefault="00EC6A54" w:rsidP="00791919">
      <w:pPr>
        <w:spacing w:after="0" w:line="240" w:lineRule="auto"/>
      </w:pPr>
      <w:r>
        <w:continuationSeparator/>
      </w:r>
    </w:p>
  </w:footnote>
  <w:footnote w:id="1">
    <w:p w14:paraId="5AE43B5A" w14:textId="77777777" w:rsidR="0071029D" w:rsidRPr="00AB2361" w:rsidRDefault="0071029D" w:rsidP="0071029D">
      <w:pPr>
        <w:pStyle w:val="FootnoteText"/>
        <w:rPr>
          <w:sz w:val="16"/>
          <w:szCs w:val="16"/>
        </w:rPr>
      </w:pPr>
      <w:r>
        <w:rPr>
          <w:rStyle w:val="FootnoteReference"/>
        </w:rPr>
        <w:footnoteRef/>
      </w:r>
      <w:r>
        <w:t xml:space="preserve"> </w:t>
      </w:r>
      <w:r w:rsidRPr="00AB2361">
        <w:rPr>
          <w:sz w:val="16"/>
          <w:szCs w:val="16"/>
        </w:rPr>
        <w:t>Measured as the average percentage of liquidity obtained versus that displayed at the time that the routing decision was made.</w:t>
      </w:r>
    </w:p>
  </w:footnote>
  <w:footnote w:id="2">
    <w:p w14:paraId="00C5D14D" w14:textId="77777777" w:rsidR="0071029D" w:rsidRDefault="0071029D" w:rsidP="0071029D">
      <w:pPr>
        <w:pStyle w:val="FootnoteText"/>
      </w:pPr>
      <w:r w:rsidRPr="00AB2361">
        <w:rPr>
          <w:rStyle w:val="FootnoteReference"/>
          <w:sz w:val="16"/>
          <w:szCs w:val="16"/>
        </w:rPr>
        <w:footnoteRef/>
      </w:r>
      <w:r w:rsidRPr="00AB2361">
        <w:rPr>
          <w:sz w:val="16"/>
          <w:szCs w:val="16"/>
        </w:rPr>
        <w:t xml:space="preserve"> </w:t>
      </w:r>
      <w:r w:rsidRPr="0071029D">
        <w:rPr>
          <w:rFonts w:cs="Calibri"/>
          <w:sz w:val="16"/>
          <w:szCs w:val="16"/>
        </w:rPr>
        <w:t>We may make an exception to this if we have reason to believe that, in selecting the best price for an individual portion of the order that, course of action may result in a less beneficial price for the whole order.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544CA8"/>
    <w:multiLevelType w:val="hybridMultilevel"/>
    <w:tmpl w:val="2822F9AE"/>
    <w:lvl w:ilvl="0" w:tplc="014289D8">
      <w:start w:val="1"/>
      <w:numFmt w:val="bullet"/>
      <w:lvlText w:val="-"/>
      <w:lvlJc w:val="left"/>
      <w:pPr>
        <w:ind w:left="720" w:hanging="360"/>
      </w:pPr>
      <w:rPr>
        <w:rFonts w:ascii="Arial" w:eastAsia="Arial" w:hAnsi="Arial" w:hint="default"/>
        <w:w w:val="99"/>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9C5DD6"/>
    <w:multiLevelType w:val="hybridMultilevel"/>
    <w:tmpl w:val="0FDCDF90"/>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6A2A79"/>
    <w:multiLevelType w:val="multilevel"/>
    <w:tmpl w:val="8D92978A"/>
    <w:name w:val="ltOutline01"/>
    <w:lvl w:ilvl="0">
      <w:start w:val="1"/>
      <w:numFmt w:val="decimal"/>
      <w:pStyle w:val="Heading1"/>
      <w:lvlText w:val="%1."/>
      <w:lvlJc w:val="right"/>
      <w:pPr>
        <w:tabs>
          <w:tab w:val="num" w:pos="0"/>
        </w:tabs>
        <w:ind w:left="0" w:hanging="101"/>
      </w:pPr>
      <w:rPr>
        <w:rFonts w:ascii="Arial" w:hAnsi="Arial" w:cs="Arial"/>
        <w:b/>
        <w:color w:val="000000"/>
        <w:sz w:val="28"/>
      </w:rPr>
    </w:lvl>
    <w:lvl w:ilvl="1">
      <w:start w:val="1"/>
      <w:numFmt w:val="none"/>
      <w:pStyle w:val="Heading2"/>
      <w:suff w:val="nothing"/>
      <w:lvlText w:val=""/>
      <w:lvlJc w:val="left"/>
      <w:pPr>
        <w:ind w:left="0" w:firstLine="0"/>
      </w:pPr>
      <w:rPr>
        <w:rFonts w:ascii="Arial" w:hAnsi="Arial" w:cs="Arial"/>
        <w:b w:val="0"/>
        <w:color w:val="000000"/>
      </w:rPr>
    </w:lvl>
    <w:lvl w:ilvl="2">
      <w:start w:val="1"/>
      <w:numFmt w:val="none"/>
      <w:pStyle w:val="Heading3"/>
      <w:suff w:val="nothing"/>
      <w:lvlText w:val=""/>
      <w:lvlJc w:val="left"/>
      <w:pPr>
        <w:ind w:left="0" w:firstLine="0"/>
      </w:pPr>
      <w:rPr>
        <w:rFonts w:ascii="Arial" w:hAnsi="Arial" w:cs="Arial"/>
        <w:b w:val="0"/>
        <w:color w:val="000000"/>
      </w:rPr>
    </w:lvl>
    <w:lvl w:ilvl="3">
      <w:start w:val="1"/>
      <w:numFmt w:val="none"/>
      <w:pStyle w:val="Heading4"/>
      <w:suff w:val="nothing"/>
      <w:lvlText w:val=""/>
      <w:lvlJc w:val="left"/>
      <w:pPr>
        <w:ind w:left="0" w:firstLine="0"/>
      </w:pPr>
      <w:rPr>
        <w:rFonts w:ascii="Arial" w:hAnsi="Arial" w:cs="Arial"/>
        <w:b w:val="0"/>
        <w:color w:val="000000"/>
      </w:rPr>
    </w:lvl>
    <w:lvl w:ilvl="4">
      <w:start w:val="1"/>
      <w:numFmt w:val="upperLetter"/>
      <w:pStyle w:val="Heading5"/>
      <w:lvlText w:val="%5."/>
      <w:lvlJc w:val="right"/>
      <w:pPr>
        <w:tabs>
          <w:tab w:val="num" w:pos="0"/>
        </w:tabs>
        <w:ind w:left="0" w:hanging="101"/>
      </w:pPr>
      <w:rPr>
        <w:rFonts w:ascii="Arial" w:hAnsi="Arial" w:cs="Arial"/>
        <w:b/>
        <w:color w:val="000000"/>
        <w:sz w:val="28"/>
      </w:rPr>
    </w:lvl>
    <w:lvl w:ilvl="5">
      <w:start w:val="1"/>
      <w:numFmt w:val="none"/>
      <w:pStyle w:val="Heading6"/>
      <w:suff w:val="nothing"/>
      <w:lvlText w:val=""/>
      <w:lvlJc w:val="left"/>
      <w:pPr>
        <w:ind w:left="0" w:firstLine="0"/>
      </w:pPr>
      <w:rPr>
        <w:rFonts w:ascii="Arial" w:hAnsi="Arial" w:cs="Arial"/>
        <w:b w:val="0"/>
        <w:color w:val="000000"/>
      </w:rPr>
    </w:lvl>
    <w:lvl w:ilvl="6">
      <w:start w:val="1"/>
      <w:numFmt w:val="none"/>
      <w:pStyle w:val="Heading7"/>
      <w:suff w:val="nothing"/>
      <w:lvlText w:val=""/>
      <w:lvlJc w:val="left"/>
      <w:pPr>
        <w:ind w:left="0" w:firstLine="0"/>
      </w:pPr>
      <w:rPr>
        <w:rFonts w:ascii="Arial" w:hAnsi="Arial" w:cs="Arial"/>
        <w:b w:val="0"/>
        <w:color w:val="000000"/>
      </w:rPr>
    </w:lvl>
    <w:lvl w:ilvl="7">
      <w:start w:val="1"/>
      <w:numFmt w:val="none"/>
      <w:pStyle w:val="Heading8"/>
      <w:suff w:val="nothing"/>
      <w:lvlText w:val=""/>
      <w:lvlJc w:val="left"/>
      <w:pPr>
        <w:ind w:left="0" w:firstLine="0"/>
      </w:pPr>
      <w:rPr>
        <w:rFonts w:ascii="Arial" w:hAnsi="Arial" w:cs="Arial"/>
        <w:b w:val="0"/>
        <w:color w:val="000000"/>
      </w:rPr>
    </w:lvl>
    <w:lvl w:ilvl="8">
      <w:start w:val="1"/>
      <w:numFmt w:val="none"/>
      <w:lvlText w:val=" "/>
      <w:lvlJc w:val="left"/>
      <w:pPr>
        <w:tabs>
          <w:tab w:val="num" w:pos="0"/>
        </w:tabs>
        <w:ind w:left="0" w:firstLine="0"/>
      </w:pPr>
      <w:rPr>
        <w:rFonts w:ascii="Arial" w:hAnsi="Arial" w:cs="Arial"/>
        <w:b w:val="0"/>
        <w:color w:val="00000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hideGrammaticalErrors/>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52E"/>
    <w:rsid w:val="000037C2"/>
    <w:rsid w:val="00007FC4"/>
    <w:rsid w:val="000102A9"/>
    <w:rsid w:val="00016F12"/>
    <w:rsid w:val="00024822"/>
    <w:rsid w:val="000254A4"/>
    <w:rsid w:val="00026F6F"/>
    <w:rsid w:val="000469E1"/>
    <w:rsid w:val="00053C8D"/>
    <w:rsid w:val="000615FB"/>
    <w:rsid w:val="000616F6"/>
    <w:rsid w:val="00064264"/>
    <w:rsid w:val="00093511"/>
    <w:rsid w:val="000A552A"/>
    <w:rsid w:val="000B29B9"/>
    <w:rsid w:val="000B3FBD"/>
    <w:rsid w:val="000B5753"/>
    <w:rsid w:val="000B7F7D"/>
    <w:rsid w:val="000C452F"/>
    <w:rsid w:val="000C75E5"/>
    <w:rsid w:val="000C763D"/>
    <w:rsid w:val="000D1EDA"/>
    <w:rsid w:val="000F3868"/>
    <w:rsid w:val="00116C11"/>
    <w:rsid w:val="00120ECE"/>
    <w:rsid w:val="00132457"/>
    <w:rsid w:val="00176781"/>
    <w:rsid w:val="001C69CA"/>
    <w:rsid w:val="001D0CA7"/>
    <w:rsid w:val="001E4046"/>
    <w:rsid w:val="001F16A6"/>
    <w:rsid w:val="001F6A03"/>
    <w:rsid w:val="0020220B"/>
    <w:rsid w:val="00210DEB"/>
    <w:rsid w:val="00213604"/>
    <w:rsid w:val="00217666"/>
    <w:rsid w:val="00225A2C"/>
    <w:rsid w:val="002300EB"/>
    <w:rsid w:val="00236BCE"/>
    <w:rsid w:val="0025785A"/>
    <w:rsid w:val="00262B6E"/>
    <w:rsid w:val="00275848"/>
    <w:rsid w:val="00283D58"/>
    <w:rsid w:val="00291D81"/>
    <w:rsid w:val="00292576"/>
    <w:rsid w:val="00294534"/>
    <w:rsid w:val="002A6C0E"/>
    <w:rsid w:val="002A7CB8"/>
    <w:rsid w:val="002B1D8F"/>
    <w:rsid w:val="002B39A0"/>
    <w:rsid w:val="002B3A90"/>
    <w:rsid w:val="002C0B29"/>
    <w:rsid w:val="002D07D7"/>
    <w:rsid w:val="002D1780"/>
    <w:rsid w:val="002E38C3"/>
    <w:rsid w:val="002E3FAE"/>
    <w:rsid w:val="003008C6"/>
    <w:rsid w:val="003059D9"/>
    <w:rsid w:val="0030739E"/>
    <w:rsid w:val="00307A3E"/>
    <w:rsid w:val="0035063A"/>
    <w:rsid w:val="003537EB"/>
    <w:rsid w:val="00361BBB"/>
    <w:rsid w:val="00365202"/>
    <w:rsid w:val="003932B3"/>
    <w:rsid w:val="003A6015"/>
    <w:rsid w:val="003B4481"/>
    <w:rsid w:val="003C1DF4"/>
    <w:rsid w:val="003C48D4"/>
    <w:rsid w:val="003D44C2"/>
    <w:rsid w:val="003F6731"/>
    <w:rsid w:val="004019E8"/>
    <w:rsid w:val="00412197"/>
    <w:rsid w:val="004274A5"/>
    <w:rsid w:val="00440F47"/>
    <w:rsid w:val="0044742B"/>
    <w:rsid w:val="00452EE7"/>
    <w:rsid w:val="0046494B"/>
    <w:rsid w:val="0047552E"/>
    <w:rsid w:val="004A1097"/>
    <w:rsid w:val="004E6159"/>
    <w:rsid w:val="004F0A01"/>
    <w:rsid w:val="004F2A97"/>
    <w:rsid w:val="004F3991"/>
    <w:rsid w:val="00505752"/>
    <w:rsid w:val="00506291"/>
    <w:rsid w:val="0050737C"/>
    <w:rsid w:val="00510DEC"/>
    <w:rsid w:val="005110F9"/>
    <w:rsid w:val="00520E03"/>
    <w:rsid w:val="005227E3"/>
    <w:rsid w:val="00537B02"/>
    <w:rsid w:val="00543022"/>
    <w:rsid w:val="00551B11"/>
    <w:rsid w:val="005711AD"/>
    <w:rsid w:val="00581B37"/>
    <w:rsid w:val="00586F31"/>
    <w:rsid w:val="005B6747"/>
    <w:rsid w:val="005C0BEA"/>
    <w:rsid w:val="005C1689"/>
    <w:rsid w:val="005D73F3"/>
    <w:rsid w:val="005E2BFC"/>
    <w:rsid w:val="005F20DB"/>
    <w:rsid w:val="005F2DC3"/>
    <w:rsid w:val="00606385"/>
    <w:rsid w:val="006127AE"/>
    <w:rsid w:val="0063108B"/>
    <w:rsid w:val="00656ECF"/>
    <w:rsid w:val="00667CF7"/>
    <w:rsid w:val="00671A06"/>
    <w:rsid w:val="00672016"/>
    <w:rsid w:val="006733C5"/>
    <w:rsid w:val="00676E5B"/>
    <w:rsid w:val="006812A9"/>
    <w:rsid w:val="0068741B"/>
    <w:rsid w:val="00692F00"/>
    <w:rsid w:val="006969B5"/>
    <w:rsid w:val="006B0D5E"/>
    <w:rsid w:val="006B2336"/>
    <w:rsid w:val="006B380F"/>
    <w:rsid w:val="006B610D"/>
    <w:rsid w:val="006C5CBA"/>
    <w:rsid w:val="006D2EFA"/>
    <w:rsid w:val="006F2905"/>
    <w:rsid w:val="00710027"/>
    <w:rsid w:val="0071029D"/>
    <w:rsid w:val="00714422"/>
    <w:rsid w:val="0071640F"/>
    <w:rsid w:val="007257EC"/>
    <w:rsid w:val="00732D0F"/>
    <w:rsid w:val="00760BDD"/>
    <w:rsid w:val="00791919"/>
    <w:rsid w:val="007A6941"/>
    <w:rsid w:val="007B228E"/>
    <w:rsid w:val="007C6493"/>
    <w:rsid w:val="007D4B62"/>
    <w:rsid w:val="007D556A"/>
    <w:rsid w:val="007E5FF0"/>
    <w:rsid w:val="007F73C1"/>
    <w:rsid w:val="00804E0D"/>
    <w:rsid w:val="00834B49"/>
    <w:rsid w:val="008475F2"/>
    <w:rsid w:val="00861DC6"/>
    <w:rsid w:val="00891BBB"/>
    <w:rsid w:val="008A7E21"/>
    <w:rsid w:val="008C2482"/>
    <w:rsid w:val="008C3D9F"/>
    <w:rsid w:val="008E595C"/>
    <w:rsid w:val="00901F44"/>
    <w:rsid w:val="00902C96"/>
    <w:rsid w:val="00912863"/>
    <w:rsid w:val="00913548"/>
    <w:rsid w:val="00917912"/>
    <w:rsid w:val="009203A5"/>
    <w:rsid w:val="00963B3E"/>
    <w:rsid w:val="00965D08"/>
    <w:rsid w:val="00972105"/>
    <w:rsid w:val="009802F7"/>
    <w:rsid w:val="00984A7E"/>
    <w:rsid w:val="009858C9"/>
    <w:rsid w:val="00996B9A"/>
    <w:rsid w:val="009A42DC"/>
    <w:rsid w:val="009A79E4"/>
    <w:rsid w:val="009B1D7D"/>
    <w:rsid w:val="009B4450"/>
    <w:rsid w:val="009D2D5E"/>
    <w:rsid w:val="009E3EF8"/>
    <w:rsid w:val="009E6DAA"/>
    <w:rsid w:val="009E754E"/>
    <w:rsid w:val="009F492C"/>
    <w:rsid w:val="009F658D"/>
    <w:rsid w:val="00A24E5C"/>
    <w:rsid w:val="00A54A2F"/>
    <w:rsid w:val="00A7386A"/>
    <w:rsid w:val="00A75957"/>
    <w:rsid w:val="00A80138"/>
    <w:rsid w:val="00A8683F"/>
    <w:rsid w:val="00A872C5"/>
    <w:rsid w:val="00A937CF"/>
    <w:rsid w:val="00A977CF"/>
    <w:rsid w:val="00AA5380"/>
    <w:rsid w:val="00AB1097"/>
    <w:rsid w:val="00AB2361"/>
    <w:rsid w:val="00AC6E8F"/>
    <w:rsid w:val="00AC7251"/>
    <w:rsid w:val="00AD1EBB"/>
    <w:rsid w:val="00AE1027"/>
    <w:rsid w:val="00AE1F1F"/>
    <w:rsid w:val="00AE3A3B"/>
    <w:rsid w:val="00AE4966"/>
    <w:rsid w:val="00AF11BB"/>
    <w:rsid w:val="00AF280F"/>
    <w:rsid w:val="00B04363"/>
    <w:rsid w:val="00B12695"/>
    <w:rsid w:val="00B310BA"/>
    <w:rsid w:val="00B550B4"/>
    <w:rsid w:val="00B66EA4"/>
    <w:rsid w:val="00B87544"/>
    <w:rsid w:val="00B93249"/>
    <w:rsid w:val="00BC60F2"/>
    <w:rsid w:val="00C02888"/>
    <w:rsid w:val="00C06B9E"/>
    <w:rsid w:val="00C12D34"/>
    <w:rsid w:val="00C22A20"/>
    <w:rsid w:val="00C24A60"/>
    <w:rsid w:val="00C24FFC"/>
    <w:rsid w:val="00C2569B"/>
    <w:rsid w:val="00C302FD"/>
    <w:rsid w:val="00C336EE"/>
    <w:rsid w:val="00C37120"/>
    <w:rsid w:val="00C379C2"/>
    <w:rsid w:val="00C45571"/>
    <w:rsid w:val="00C6616C"/>
    <w:rsid w:val="00C72503"/>
    <w:rsid w:val="00C8611B"/>
    <w:rsid w:val="00CA01F7"/>
    <w:rsid w:val="00CA0952"/>
    <w:rsid w:val="00CC3AFD"/>
    <w:rsid w:val="00CC4589"/>
    <w:rsid w:val="00CF1737"/>
    <w:rsid w:val="00CF30DA"/>
    <w:rsid w:val="00D05F8B"/>
    <w:rsid w:val="00D21276"/>
    <w:rsid w:val="00D4069F"/>
    <w:rsid w:val="00D71DB9"/>
    <w:rsid w:val="00D9760E"/>
    <w:rsid w:val="00DE590E"/>
    <w:rsid w:val="00DF10A5"/>
    <w:rsid w:val="00DF5F59"/>
    <w:rsid w:val="00E063FD"/>
    <w:rsid w:val="00E32524"/>
    <w:rsid w:val="00E4114E"/>
    <w:rsid w:val="00E455A8"/>
    <w:rsid w:val="00E51523"/>
    <w:rsid w:val="00E616FB"/>
    <w:rsid w:val="00E712DD"/>
    <w:rsid w:val="00E73067"/>
    <w:rsid w:val="00E815BA"/>
    <w:rsid w:val="00E845ED"/>
    <w:rsid w:val="00E94257"/>
    <w:rsid w:val="00EC6A54"/>
    <w:rsid w:val="00EE008A"/>
    <w:rsid w:val="00EE09DB"/>
    <w:rsid w:val="00EE4767"/>
    <w:rsid w:val="00EE6884"/>
    <w:rsid w:val="00EF3507"/>
    <w:rsid w:val="00F010E3"/>
    <w:rsid w:val="00F01BB9"/>
    <w:rsid w:val="00F127C2"/>
    <w:rsid w:val="00F24840"/>
    <w:rsid w:val="00F32671"/>
    <w:rsid w:val="00F461D4"/>
    <w:rsid w:val="00F47510"/>
    <w:rsid w:val="00F51D0F"/>
    <w:rsid w:val="00F54DE1"/>
    <w:rsid w:val="00F5586C"/>
    <w:rsid w:val="00FB6535"/>
    <w:rsid w:val="00FC574E"/>
    <w:rsid w:val="00FD4180"/>
    <w:rsid w:val="00FE54C7"/>
    <w:rsid w:val="00FF6C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5A0F3E"/>
  <w15:docId w15:val="{3F91D029-63B7-46BE-9271-3373251FA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Chapter Title"/>
    <w:basedOn w:val="Normal"/>
    <w:next w:val="Heading2"/>
    <w:link w:val="Heading1Char"/>
    <w:qFormat/>
    <w:rsid w:val="00AB2361"/>
    <w:pPr>
      <w:keepNext/>
      <w:pageBreakBefore/>
      <w:numPr>
        <w:numId w:val="3"/>
      </w:numPr>
      <w:spacing w:after="160" w:line="264" w:lineRule="auto"/>
      <w:outlineLvl w:val="0"/>
    </w:pPr>
    <w:rPr>
      <w:rFonts w:ascii="Arial" w:eastAsia="LF_Kai" w:hAnsi="Arial" w:cs="Arial"/>
      <w:b/>
      <w:bCs/>
      <w:color w:val="000000"/>
      <w:kern w:val="32"/>
      <w:sz w:val="28"/>
      <w:szCs w:val="32"/>
      <w:lang w:eastAsia="zh-CN" w:bidi="yi-Hebr"/>
    </w:rPr>
  </w:style>
  <w:style w:type="paragraph" w:styleId="Heading2">
    <w:name w:val="heading 2"/>
    <w:basedOn w:val="Normal"/>
    <w:next w:val="23BodyText"/>
    <w:link w:val="Heading2Char"/>
    <w:qFormat/>
    <w:rsid w:val="00AB2361"/>
    <w:pPr>
      <w:keepNext/>
      <w:numPr>
        <w:ilvl w:val="1"/>
        <w:numId w:val="3"/>
      </w:numPr>
      <w:spacing w:before="240" w:after="0" w:line="264" w:lineRule="auto"/>
      <w:outlineLvl w:val="1"/>
    </w:pPr>
    <w:rPr>
      <w:rFonts w:ascii="Arial" w:eastAsia="LF_Kai" w:hAnsi="Arial" w:cs="Arial"/>
      <w:b/>
      <w:bCs/>
      <w:iCs/>
      <w:color w:val="000000"/>
      <w:szCs w:val="28"/>
      <w:lang w:eastAsia="zh-CN" w:bidi="yi-Hebr"/>
    </w:rPr>
  </w:style>
  <w:style w:type="paragraph" w:styleId="Heading3">
    <w:name w:val="heading 3"/>
    <w:basedOn w:val="Normal"/>
    <w:next w:val="23BodyText"/>
    <w:link w:val="Heading3Char"/>
    <w:qFormat/>
    <w:rsid w:val="00AB2361"/>
    <w:pPr>
      <w:keepNext/>
      <w:numPr>
        <w:ilvl w:val="2"/>
        <w:numId w:val="3"/>
      </w:numPr>
      <w:spacing w:before="160" w:after="0" w:line="264" w:lineRule="auto"/>
      <w:outlineLvl w:val="2"/>
    </w:pPr>
    <w:rPr>
      <w:rFonts w:ascii="Arial" w:eastAsia="LF_Kai" w:hAnsi="Arial" w:cs="Arial"/>
      <w:b/>
      <w:bCs/>
      <w:color w:val="000000"/>
      <w:sz w:val="20"/>
      <w:szCs w:val="26"/>
      <w:lang w:eastAsia="zh-CN" w:bidi="yi-Hebr"/>
    </w:rPr>
  </w:style>
  <w:style w:type="paragraph" w:styleId="Heading4">
    <w:name w:val="heading 4"/>
    <w:basedOn w:val="Normal"/>
    <w:next w:val="23BodyText"/>
    <w:link w:val="Heading4Char"/>
    <w:qFormat/>
    <w:rsid w:val="00AB2361"/>
    <w:pPr>
      <w:keepNext/>
      <w:numPr>
        <w:ilvl w:val="3"/>
        <w:numId w:val="3"/>
      </w:numPr>
      <w:spacing w:before="160" w:after="0" w:line="264" w:lineRule="auto"/>
      <w:outlineLvl w:val="3"/>
    </w:pPr>
    <w:rPr>
      <w:rFonts w:ascii="Arial" w:eastAsia="LF_Kai" w:hAnsi="Arial" w:cs="Arial"/>
      <w:bCs/>
      <w:i/>
      <w:color w:val="000000"/>
      <w:sz w:val="20"/>
      <w:szCs w:val="28"/>
      <w:lang w:eastAsia="zh-CN" w:bidi="yi-Hebr"/>
    </w:rPr>
  </w:style>
  <w:style w:type="paragraph" w:styleId="Heading5">
    <w:name w:val="heading 5"/>
    <w:aliases w:val="Appendix Title"/>
    <w:basedOn w:val="Heading1"/>
    <w:next w:val="Heading6"/>
    <w:link w:val="Heading5Char"/>
    <w:qFormat/>
    <w:rsid w:val="00AB2361"/>
    <w:pPr>
      <w:numPr>
        <w:ilvl w:val="4"/>
      </w:numPr>
      <w:outlineLvl w:val="4"/>
    </w:pPr>
    <w:rPr>
      <w:bCs w:val="0"/>
      <w:iCs/>
      <w:szCs w:val="26"/>
    </w:rPr>
  </w:style>
  <w:style w:type="paragraph" w:styleId="Heading6">
    <w:name w:val="heading 6"/>
    <w:basedOn w:val="Heading2"/>
    <w:next w:val="23BodyText"/>
    <w:link w:val="Heading6Char"/>
    <w:qFormat/>
    <w:rsid w:val="00AB2361"/>
    <w:pPr>
      <w:numPr>
        <w:ilvl w:val="5"/>
      </w:numPr>
      <w:outlineLvl w:val="5"/>
    </w:pPr>
    <w:rPr>
      <w:bCs w:val="0"/>
      <w:szCs w:val="22"/>
    </w:rPr>
  </w:style>
  <w:style w:type="paragraph" w:styleId="Heading7">
    <w:name w:val="heading 7"/>
    <w:basedOn w:val="Heading3"/>
    <w:next w:val="23BodyText"/>
    <w:link w:val="Heading7Char"/>
    <w:qFormat/>
    <w:rsid w:val="00AB2361"/>
    <w:pPr>
      <w:numPr>
        <w:ilvl w:val="6"/>
      </w:numPr>
      <w:outlineLvl w:val="6"/>
    </w:pPr>
  </w:style>
  <w:style w:type="paragraph" w:styleId="Heading8">
    <w:name w:val="heading 8"/>
    <w:basedOn w:val="Heading4"/>
    <w:next w:val="23BodyText"/>
    <w:link w:val="Heading8Char"/>
    <w:qFormat/>
    <w:rsid w:val="00AB2361"/>
    <w:pPr>
      <w:numPr>
        <w:ilvl w:val="7"/>
      </w:numPr>
      <w:outlineLvl w:val="7"/>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paragraph" w:styleId="FootnoteText">
    <w:name w:val="footnote text"/>
    <w:basedOn w:val="Normal"/>
    <w:link w:val="FootnoteTextChar"/>
    <w:semiHidden/>
    <w:unhideWhenUsed/>
    <w:rsid w:val="009F658D"/>
    <w:pPr>
      <w:spacing w:after="0" w:line="240" w:lineRule="auto"/>
    </w:pPr>
    <w:rPr>
      <w:sz w:val="20"/>
      <w:szCs w:val="20"/>
    </w:rPr>
  </w:style>
  <w:style w:type="character" w:customStyle="1" w:styleId="FootnoteTextChar">
    <w:name w:val="Footnote Text Char"/>
    <w:basedOn w:val="DefaultParagraphFont"/>
    <w:link w:val="FootnoteText"/>
    <w:semiHidden/>
    <w:rsid w:val="009F658D"/>
    <w:rPr>
      <w:sz w:val="20"/>
      <w:szCs w:val="20"/>
    </w:rPr>
  </w:style>
  <w:style w:type="paragraph" w:styleId="ListParagraph">
    <w:name w:val="List Paragraph"/>
    <w:basedOn w:val="Normal"/>
    <w:uiPriority w:val="34"/>
    <w:qFormat/>
    <w:rsid w:val="009F658D"/>
    <w:pPr>
      <w:spacing w:after="160" w:line="259" w:lineRule="auto"/>
      <w:ind w:left="720"/>
      <w:contextualSpacing/>
    </w:pPr>
  </w:style>
  <w:style w:type="table" w:customStyle="1" w:styleId="TableGrid1">
    <w:name w:val="Table Grid1"/>
    <w:basedOn w:val="TableNormal"/>
    <w:next w:val="TableGrid"/>
    <w:uiPriority w:val="59"/>
    <w:rsid w:val="009F65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F658D"/>
    <w:rPr>
      <w:color w:val="0000FF" w:themeColor="hyperlink"/>
      <w:u w:val="single"/>
    </w:rPr>
  </w:style>
  <w:style w:type="character" w:styleId="FootnoteReference">
    <w:name w:val="footnote reference"/>
    <w:basedOn w:val="DefaultParagraphFont"/>
    <w:uiPriority w:val="99"/>
    <w:semiHidden/>
    <w:unhideWhenUsed/>
    <w:rsid w:val="00AB2361"/>
    <w:rPr>
      <w:vertAlign w:val="superscript"/>
    </w:rPr>
  </w:style>
  <w:style w:type="character" w:customStyle="1" w:styleId="Heading1Char">
    <w:name w:val="Heading 1 Char"/>
    <w:aliases w:val="Chapter Title Char"/>
    <w:basedOn w:val="DefaultParagraphFont"/>
    <w:link w:val="Heading1"/>
    <w:rsid w:val="00AB2361"/>
    <w:rPr>
      <w:rFonts w:ascii="Arial" w:eastAsia="LF_Kai" w:hAnsi="Arial" w:cs="Arial"/>
      <w:b/>
      <w:bCs/>
      <w:color w:val="000000"/>
      <w:kern w:val="32"/>
      <w:sz w:val="28"/>
      <w:szCs w:val="32"/>
      <w:lang w:eastAsia="zh-CN" w:bidi="yi-Hebr"/>
    </w:rPr>
  </w:style>
  <w:style w:type="character" w:customStyle="1" w:styleId="Heading2Char">
    <w:name w:val="Heading 2 Char"/>
    <w:basedOn w:val="DefaultParagraphFont"/>
    <w:link w:val="Heading2"/>
    <w:rsid w:val="00AB2361"/>
    <w:rPr>
      <w:rFonts w:ascii="Arial" w:eastAsia="LF_Kai" w:hAnsi="Arial" w:cs="Arial"/>
      <w:b/>
      <w:bCs/>
      <w:iCs/>
      <w:color w:val="000000"/>
      <w:szCs w:val="28"/>
      <w:lang w:eastAsia="zh-CN" w:bidi="yi-Hebr"/>
    </w:rPr>
  </w:style>
  <w:style w:type="character" w:customStyle="1" w:styleId="Heading3Char">
    <w:name w:val="Heading 3 Char"/>
    <w:basedOn w:val="DefaultParagraphFont"/>
    <w:link w:val="Heading3"/>
    <w:rsid w:val="00AB2361"/>
    <w:rPr>
      <w:rFonts w:ascii="Arial" w:eastAsia="LF_Kai" w:hAnsi="Arial" w:cs="Arial"/>
      <w:b/>
      <w:bCs/>
      <w:color w:val="000000"/>
      <w:sz w:val="20"/>
      <w:szCs w:val="26"/>
      <w:lang w:eastAsia="zh-CN" w:bidi="yi-Hebr"/>
    </w:rPr>
  </w:style>
  <w:style w:type="character" w:customStyle="1" w:styleId="Heading4Char">
    <w:name w:val="Heading 4 Char"/>
    <w:basedOn w:val="DefaultParagraphFont"/>
    <w:link w:val="Heading4"/>
    <w:rsid w:val="00AB2361"/>
    <w:rPr>
      <w:rFonts w:ascii="Arial" w:eastAsia="LF_Kai" w:hAnsi="Arial" w:cs="Arial"/>
      <w:bCs/>
      <w:i/>
      <w:color w:val="000000"/>
      <w:sz w:val="20"/>
      <w:szCs w:val="28"/>
      <w:lang w:eastAsia="zh-CN" w:bidi="yi-Hebr"/>
    </w:rPr>
  </w:style>
  <w:style w:type="character" w:customStyle="1" w:styleId="Heading5Char">
    <w:name w:val="Heading 5 Char"/>
    <w:aliases w:val="Appendix Title Char"/>
    <w:basedOn w:val="DefaultParagraphFont"/>
    <w:link w:val="Heading5"/>
    <w:rsid w:val="00AB2361"/>
    <w:rPr>
      <w:rFonts w:ascii="Arial" w:eastAsia="LF_Kai" w:hAnsi="Arial" w:cs="Arial"/>
      <w:b/>
      <w:iCs/>
      <w:color w:val="000000"/>
      <w:kern w:val="32"/>
      <w:sz w:val="28"/>
      <w:szCs w:val="26"/>
      <w:lang w:eastAsia="zh-CN" w:bidi="yi-Hebr"/>
    </w:rPr>
  </w:style>
  <w:style w:type="character" w:customStyle="1" w:styleId="Heading6Char">
    <w:name w:val="Heading 6 Char"/>
    <w:basedOn w:val="DefaultParagraphFont"/>
    <w:link w:val="Heading6"/>
    <w:rsid w:val="00AB2361"/>
    <w:rPr>
      <w:rFonts w:ascii="Arial" w:eastAsia="LF_Kai" w:hAnsi="Arial" w:cs="Arial"/>
      <w:b/>
      <w:iCs/>
      <w:color w:val="000000"/>
      <w:lang w:eastAsia="zh-CN" w:bidi="yi-Hebr"/>
    </w:rPr>
  </w:style>
  <w:style w:type="character" w:customStyle="1" w:styleId="Heading7Char">
    <w:name w:val="Heading 7 Char"/>
    <w:basedOn w:val="DefaultParagraphFont"/>
    <w:link w:val="Heading7"/>
    <w:rsid w:val="00AB2361"/>
    <w:rPr>
      <w:rFonts w:ascii="Arial" w:eastAsia="LF_Kai" w:hAnsi="Arial" w:cs="Arial"/>
      <w:b/>
      <w:bCs/>
      <w:color w:val="000000"/>
      <w:sz w:val="20"/>
      <w:szCs w:val="26"/>
      <w:lang w:eastAsia="zh-CN" w:bidi="yi-Hebr"/>
    </w:rPr>
  </w:style>
  <w:style w:type="character" w:customStyle="1" w:styleId="Heading8Char">
    <w:name w:val="Heading 8 Char"/>
    <w:basedOn w:val="DefaultParagraphFont"/>
    <w:link w:val="Heading8"/>
    <w:rsid w:val="00AB2361"/>
    <w:rPr>
      <w:rFonts w:ascii="Arial" w:eastAsia="LF_Kai" w:hAnsi="Arial" w:cs="Arial"/>
      <w:bCs/>
      <w:i/>
      <w:iCs/>
      <w:color w:val="000000"/>
      <w:sz w:val="20"/>
      <w:szCs w:val="28"/>
      <w:lang w:eastAsia="zh-CN" w:bidi="yi-Hebr"/>
    </w:rPr>
  </w:style>
  <w:style w:type="paragraph" w:customStyle="1" w:styleId="23BodyText">
    <w:name w:val="23 Body Text"/>
    <w:basedOn w:val="Normal"/>
    <w:rsid w:val="00AB2361"/>
    <w:pPr>
      <w:spacing w:after="120" w:line="264" w:lineRule="auto"/>
      <w:jc w:val="both"/>
    </w:pPr>
    <w:rPr>
      <w:rFonts w:ascii="Arial" w:eastAsia="LF_Kai" w:hAnsi="Arial" w:cs="Arial"/>
      <w:color w:val="000000"/>
      <w:sz w:val="20"/>
      <w:szCs w:val="24"/>
      <w:lang w:eastAsia="zh-CN" w:bidi="yi-Hebr"/>
    </w:rPr>
  </w:style>
  <w:style w:type="paragraph" w:customStyle="1" w:styleId="Bullet1">
    <w:name w:val="Bullet 1"/>
    <w:basedOn w:val="23BodyText"/>
    <w:rsid w:val="00AB2361"/>
    <w:pPr>
      <w:ind w:left="720" w:hanging="720"/>
      <w:contextualSpacing/>
    </w:pPr>
  </w:style>
  <w:style w:type="character" w:styleId="CommentReference">
    <w:name w:val="annotation reference"/>
    <w:basedOn w:val="DefaultParagraphFont"/>
    <w:uiPriority w:val="99"/>
    <w:semiHidden/>
    <w:unhideWhenUsed/>
    <w:rsid w:val="00D21276"/>
    <w:rPr>
      <w:sz w:val="16"/>
      <w:szCs w:val="16"/>
    </w:rPr>
  </w:style>
  <w:style w:type="paragraph" w:styleId="CommentText">
    <w:name w:val="annotation text"/>
    <w:basedOn w:val="Normal"/>
    <w:link w:val="CommentTextChar"/>
    <w:uiPriority w:val="99"/>
    <w:semiHidden/>
    <w:unhideWhenUsed/>
    <w:rsid w:val="00D21276"/>
    <w:pPr>
      <w:spacing w:line="240" w:lineRule="auto"/>
    </w:pPr>
    <w:rPr>
      <w:sz w:val="20"/>
      <w:szCs w:val="20"/>
    </w:rPr>
  </w:style>
  <w:style w:type="character" w:customStyle="1" w:styleId="CommentTextChar">
    <w:name w:val="Comment Text Char"/>
    <w:basedOn w:val="DefaultParagraphFont"/>
    <w:link w:val="CommentText"/>
    <w:uiPriority w:val="99"/>
    <w:semiHidden/>
    <w:rsid w:val="00D21276"/>
    <w:rPr>
      <w:sz w:val="20"/>
      <w:szCs w:val="20"/>
    </w:rPr>
  </w:style>
  <w:style w:type="paragraph" w:styleId="CommentSubject">
    <w:name w:val="annotation subject"/>
    <w:basedOn w:val="CommentText"/>
    <w:next w:val="CommentText"/>
    <w:link w:val="CommentSubjectChar"/>
    <w:uiPriority w:val="99"/>
    <w:semiHidden/>
    <w:unhideWhenUsed/>
    <w:rsid w:val="00D21276"/>
    <w:rPr>
      <w:b/>
      <w:bCs/>
    </w:rPr>
  </w:style>
  <w:style w:type="character" w:customStyle="1" w:styleId="CommentSubjectChar">
    <w:name w:val="Comment Subject Char"/>
    <w:basedOn w:val="CommentTextChar"/>
    <w:link w:val="CommentSubject"/>
    <w:uiPriority w:val="99"/>
    <w:semiHidden/>
    <w:rsid w:val="00D21276"/>
    <w:rPr>
      <w:b/>
      <w:bCs/>
      <w:sz w:val="20"/>
      <w:szCs w:val="20"/>
    </w:rPr>
  </w:style>
  <w:style w:type="paragraph" w:styleId="Revision">
    <w:name w:val="Revision"/>
    <w:hidden/>
    <w:uiPriority w:val="99"/>
    <w:semiHidden/>
    <w:rsid w:val="003B4481"/>
    <w:pPr>
      <w:spacing w:after="0" w:line="240" w:lineRule="auto"/>
    </w:pPr>
  </w:style>
  <w:style w:type="character" w:styleId="FollowedHyperlink">
    <w:name w:val="FollowedHyperlink"/>
    <w:basedOn w:val="DefaultParagraphFont"/>
    <w:uiPriority w:val="99"/>
    <w:semiHidden/>
    <w:unhideWhenUsed/>
    <w:rsid w:val="00E94257"/>
    <w:rPr>
      <w:color w:val="800080" w:themeColor="followedHyperlink"/>
      <w:u w:val="single"/>
    </w:rPr>
  </w:style>
  <w:style w:type="character" w:styleId="UnresolvedMention">
    <w:name w:val="Unresolved Mention"/>
    <w:basedOn w:val="DefaultParagraphFont"/>
    <w:uiPriority w:val="99"/>
    <w:semiHidden/>
    <w:unhideWhenUsed/>
    <w:rsid w:val="00AF11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536266">
      <w:bodyDiv w:val="1"/>
      <w:marLeft w:val="0"/>
      <w:marRight w:val="0"/>
      <w:marTop w:val="0"/>
      <w:marBottom w:val="0"/>
      <w:divBdr>
        <w:top w:val="none" w:sz="0" w:space="0" w:color="auto"/>
        <w:left w:val="none" w:sz="0" w:space="0" w:color="auto"/>
        <w:bottom w:val="none" w:sz="0" w:space="0" w:color="auto"/>
        <w:right w:val="none" w:sz="0" w:space="0" w:color="auto"/>
      </w:divBdr>
    </w:div>
    <w:div w:id="495876970">
      <w:bodyDiv w:val="1"/>
      <w:marLeft w:val="0"/>
      <w:marRight w:val="0"/>
      <w:marTop w:val="0"/>
      <w:marBottom w:val="0"/>
      <w:divBdr>
        <w:top w:val="none" w:sz="0" w:space="0" w:color="auto"/>
        <w:left w:val="none" w:sz="0" w:space="0" w:color="auto"/>
        <w:bottom w:val="none" w:sz="0" w:space="0" w:color="auto"/>
        <w:right w:val="none" w:sz="0" w:space="0" w:color="auto"/>
      </w:divBdr>
    </w:div>
    <w:div w:id="532966069">
      <w:bodyDiv w:val="1"/>
      <w:marLeft w:val="0"/>
      <w:marRight w:val="0"/>
      <w:marTop w:val="0"/>
      <w:marBottom w:val="0"/>
      <w:divBdr>
        <w:top w:val="none" w:sz="0" w:space="0" w:color="auto"/>
        <w:left w:val="none" w:sz="0" w:space="0" w:color="auto"/>
        <w:bottom w:val="none" w:sz="0" w:space="0" w:color="auto"/>
        <w:right w:val="none" w:sz="0" w:space="0" w:color="auto"/>
      </w:divBdr>
    </w:div>
    <w:div w:id="549077105">
      <w:bodyDiv w:val="1"/>
      <w:marLeft w:val="0"/>
      <w:marRight w:val="0"/>
      <w:marTop w:val="0"/>
      <w:marBottom w:val="0"/>
      <w:divBdr>
        <w:top w:val="none" w:sz="0" w:space="0" w:color="auto"/>
        <w:left w:val="none" w:sz="0" w:space="0" w:color="auto"/>
        <w:bottom w:val="none" w:sz="0" w:space="0" w:color="auto"/>
        <w:right w:val="none" w:sz="0" w:space="0" w:color="auto"/>
      </w:divBdr>
    </w:div>
    <w:div w:id="636956031">
      <w:bodyDiv w:val="1"/>
      <w:marLeft w:val="0"/>
      <w:marRight w:val="0"/>
      <w:marTop w:val="0"/>
      <w:marBottom w:val="0"/>
      <w:divBdr>
        <w:top w:val="none" w:sz="0" w:space="0" w:color="auto"/>
        <w:left w:val="none" w:sz="0" w:space="0" w:color="auto"/>
        <w:bottom w:val="none" w:sz="0" w:space="0" w:color="auto"/>
        <w:right w:val="none" w:sz="0" w:space="0" w:color="auto"/>
      </w:divBdr>
    </w:div>
    <w:div w:id="661355611">
      <w:bodyDiv w:val="1"/>
      <w:marLeft w:val="0"/>
      <w:marRight w:val="0"/>
      <w:marTop w:val="0"/>
      <w:marBottom w:val="0"/>
      <w:divBdr>
        <w:top w:val="none" w:sz="0" w:space="0" w:color="auto"/>
        <w:left w:val="none" w:sz="0" w:space="0" w:color="auto"/>
        <w:bottom w:val="none" w:sz="0" w:space="0" w:color="auto"/>
        <w:right w:val="none" w:sz="0" w:space="0" w:color="auto"/>
      </w:divBdr>
    </w:div>
    <w:div w:id="720059335">
      <w:bodyDiv w:val="1"/>
      <w:marLeft w:val="0"/>
      <w:marRight w:val="0"/>
      <w:marTop w:val="0"/>
      <w:marBottom w:val="0"/>
      <w:divBdr>
        <w:top w:val="none" w:sz="0" w:space="0" w:color="auto"/>
        <w:left w:val="none" w:sz="0" w:space="0" w:color="auto"/>
        <w:bottom w:val="none" w:sz="0" w:space="0" w:color="auto"/>
        <w:right w:val="none" w:sz="0" w:space="0" w:color="auto"/>
      </w:divBdr>
    </w:div>
    <w:div w:id="796144059">
      <w:bodyDiv w:val="1"/>
      <w:marLeft w:val="0"/>
      <w:marRight w:val="0"/>
      <w:marTop w:val="0"/>
      <w:marBottom w:val="0"/>
      <w:divBdr>
        <w:top w:val="none" w:sz="0" w:space="0" w:color="auto"/>
        <w:left w:val="none" w:sz="0" w:space="0" w:color="auto"/>
        <w:bottom w:val="none" w:sz="0" w:space="0" w:color="auto"/>
        <w:right w:val="none" w:sz="0" w:space="0" w:color="auto"/>
      </w:divBdr>
    </w:div>
    <w:div w:id="822893132">
      <w:bodyDiv w:val="1"/>
      <w:marLeft w:val="0"/>
      <w:marRight w:val="0"/>
      <w:marTop w:val="0"/>
      <w:marBottom w:val="0"/>
      <w:divBdr>
        <w:top w:val="none" w:sz="0" w:space="0" w:color="auto"/>
        <w:left w:val="none" w:sz="0" w:space="0" w:color="auto"/>
        <w:bottom w:val="none" w:sz="0" w:space="0" w:color="auto"/>
        <w:right w:val="none" w:sz="0" w:space="0" w:color="auto"/>
      </w:divBdr>
    </w:div>
    <w:div w:id="877666922">
      <w:bodyDiv w:val="1"/>
      <w:marLeft w:val="0"/>
      <w:marRight w:val="0"/>
      <w:marTop w:val="0"/>
      <w:marBottom w:val="0"/>
      <w:divBdr>
        <w:top w:val="none" w:sz="0" w:space="0" w:color="auto"/>
        <w:left w:val="none" w:sz="0" w:space="0" w:color="auto"/>
        <w:bottom w:val="none" w:sz="0" w:space="0" w:color="auto"/>
        <w:right w:val="none" w:sz="0" w:space="0" w:color="auto"/>
      </w:divBdr>
    </w:div>
    <w:div w:id="927425801">
      <w:bodyDiv w:val="1"/>
      <w:marLeft w:val="0"/>
      <w:marRight w:val="0"/>
      <w:marTop w:val="0"/>
      <w:marBottom w:val="0"/>
      <w:divBdr>
        <w:top w:val="none" w:sz="0" w:space="0" w:color="auto"/>
        <w:left w:val="none" w:sz="0" w:space="0" w:color="auto"/>
        <w:bottom w:val="none" w:sz="0" w:space="0" w:color="auto"/>
        <w:right w:val="none" w:sz="0" w:space="0" w:color="auto"/>
      </w:divBdr>
    </w:div>
    <w:div w:id="1027292706">
      <w:bodyDiv w:val="1"/>
      <w:marLeft w:val="0"/>
      <w:marRight w:val="0"/>
      <w:marTop w:val="0"/>
      <w:marBottom w:val="0"/>
      <w:divBdr>
        <w:top w:val="none" w:sz="0" w:space="0" w:color="auto"/>
        <w:left w:val="none" w:sz="0" w:space="0" w:color="auto"/>
        <w:bottom w:val="none" w:sz="0" w:space="0" w:color="auto"/>
        <w:right w:val="none" w:sz="0" w:space="0" w:color="auto"/>
      </w:divBdr>
    </w:div>
    <w:div w:id="1110514343">
      <w:bodyDiv w:val="1"/>
      <w:marLeft w:val="0"/>
      <w:marRight w:val="0"/>
      <w:marTop w:val="0"/>
      <w:marBottom w:val="0"/>
      <w:divBdr>
        <w:top w:val="none" w:sz="0" w:space="0" w:color="auto"/>
        <w:left w:val="none" w:sz="0" w:space="0" w:color="auto"/>
        <w:bottom w:val="none" w:sz="0" w:space="0" w:color="auto"/>
        <w:right w:val="none" w:sz="0" w:space="0" w:color="auto"/>
      </w:divBdr>
    </w:div>
    <w:div w:id="1226456947">
      <w:bodyDiv w:val="1"/>
      <w:marLeft w:val="0"/>
      <w:marRight w:val="0"/>
      <w:marTop w:val="0"/>
      <w:marBottom w:val="0"/>
      <w:divBdr>
        <w:top w:val="none" w:sz="0" w:space="0" w:color="auto"/>
        <w:left w:val="none" w:sz="0" w:space="0" w:color="auto"/>
        <w:bottom w:val="none" w:sz="0" w:space="0" w:color="auto"/>
        <w:right w:val="none" w:sz="0" w:space="0" w:color="auto"/>
      </w:divBdr>
    </w:div>
    <w:div w:id="1579554931">
      <w:bodyDiv w:val="1"/>
      <w:marLeft w:val="0"/>
      <w:marRight w:val="0"/>
      <w:marTop w:val="0"/>
      <w:marBottom w:val="0"/>
      <w:divBdr>
        <w:top w:val="none" w:sz="0" w:space="0" w:color="auto"/>
        <w:left w:val="none" w:sz="0" w:space="0" w:color="auto"/>
        <w:bottom w:val="none" w:sz="0" w:space="0" w:color="auto"/>
        <w:right w:val="none" w:sz="0" w:space="0" w:color="auto"/>
      </w:divBdr>
    </w:div>
    <w:div w:id="1616405278">
      <w:bodyDiv w:val="1"/>
      <w:marLeft w:val="0"/>
      <w:marRight w:val="0"/>
      <w:marTop w:val="0"/>
      <w:marBottom w:val="0"/>
      <w:divBdr>
        <w:top w:val="none" w:sz="0" w:space="0" w:color="auto"/>
        <w:left w:val="none" w:sz="0" w:space="0" w:color="auto"/>
        <w:bottom w:val="none" w:sz="0" w:space="0" w:color="auto"/>
        <w:right w:val="none" w:sz="0" w:space="0" w:color="auto"/>
      </w:divBdr>
    </w:div>
    <w:div w:id="1644694978">
      <w:bodyDiv w:val="1"/>
      <w:marLeft w:val="0"/>
      <w:marRight w:val="0"/>
      <w:marTop w:val="0"/>
      <w:marBottom w:val="0"/>
      <w:divBdr>
        <w:top w:val="none" w:sz="0" w:space="0" w:color="auto"/>
        <w:left w:val="none" w:sz="0" w:space="0" w:color="auto"/>
        <w:bottom w:val="none" w:sz="0" w:space="0" w:color="auto"/>
        <w:right w:val="none" w:sz="0" w:space="0" w:color="auto"/>
      </w:divBdr>
    </w:div>
    <w:div w:id="1945654282">
      <w:bodyDiv w:val="1"/>
      <w:marLeft w:val="0"/>
      <w:marRight w:val="0"/>
      <w:marTop w:val="0"/>
      <w:marBottom w:val="0"/>
      <w:divBdr>
        <w:top w:val="none" w:sz="0" w:space="0" w:color="auto"/>
        <w:left w:val="none" w:sz="0" w:space="0" w:color="auto"/>
        <w:bottom w:val="none" w:sz="0" w:space="0" w:color="auto"/>
        <w:right w:val="none" w:sz="0" w:space="0" w:color="auto"/>
      </w:divBdr>
    </w:div>
    <w:div w:id="2017994547">
      <w:bodyDiv w:val="1"/>
      <w:marLeft w:val="0"/>
      <w:marRight w:val="0"/>
      <w:marTop w:val="0"/>
      <w:marBottom w:val="0"/>
      <w:divBdr>
        <w:top w:val="none" w:sz="0" w:space="0" w:color="auto"/>
        <w:left w:val="none" w:sz="0" w:space="0" w:color="auto"/>
        <w:bottom w:val="none" w:sz="0" w:space="0" w:color="auto"/>
        <w:right w:val="none" w:sz="0" w:space="0" w:color="auto"/>
      </w:divBdr>
    </w:div>
    <w:div w:id="207365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pmorgan.com/content/dam/jpm/global/disclosures/us/20201230-main-execution-policy-dec-2020.pdf" TargetMode="External"/><Relationship Id="rId18" Type="http://schemas.openxmlformats.org/officeDocument/2006/relationships/hyperlink" Target="https://www.jpmorgan.com/content/dam/jpm/global/disclosures/us/20201230-foexecution-pre-neg-order-best-execution-policy-final-december2020-app-3.pdf" TargetMode="External"/><Relationship Id="rId26" Type="http://schemas.openxmlformats.org/officeDocument/2006/relationships/hyperlink" Target="https://www.jpmorgan.com/content/dam/jpm/global/disclosures/us/20201230-ficc-and-edg-execution-policy-mifid-master-draft-dec2020-app-5.pdf" TargetMode="External"/><Relationship Id="rId3" Type="http://schemas.openxmlformats.org/officeDocument/2006/relationships/customXml" Target="../customXml/item3.xml"/><Relationship Id="rId21" Type="http://schemas.openxmlformats.org/officeDocument/2006/relationships/hyperlink" Target="https://www.jpmorgan.com/content/dam/jpm/global/disclosures/us/20201230-main-execution-policy-dec-2020.pdf" TargetMode="External"/><Relationship Id="rId34" Type="http://schemas.openxmlformats.org/officeDocument/2006/relationships/hyperlink" Target="https://www.jpmorgan.com/content/dam/jpm/global/disclosures/mifid-ii/mifidii-appendix2-cash-equities-policy.pdf" TargetMode="External"/><Relationship Id="rId7" Type="http://schemas.openxmlformats.org/officeDocument/2006/relationships/settings" Target="settings.xml"/><Relationship Id="rId12" Type="http://schemas.openxmlformats.org/officeDocument/2006/relationships/hyperlink" Target="https://www.jpmorgan.com/content/dam/jpm/global/disclosures/us/20201230-main-execution-policy-dec-2020.pdf" TargetMode="External"/><Relationship Id="rId17" Type="http://schemas.openxmlformats.org/officeDocument/2006/relationships/hyperlink" Target="https://www.jpmorgan.com/content/dam/jpm/global/disclosures/us/20201230-main-execution-policy-dec-2020.pdf" TargetMode="External"/><Relationship Id="rId25" Type="http://schemas.openxmlformats.org/officeDocument/2006/relationships/hyperlink" Target="https://www.jpmorgan.com/content/dam/jpm/global/disclosures/us/20201230-main-execution-policy-dec-2020.pdf" TargetMode="External"/><Relationship Id="rId33" Type="http://schemas.openxmlformats.org/officeDocument/2006/relationships/hyperlink" Target="https://www.jpmorgan.com/content/dam/jpm/global/disclosures/us/20201230-main-execution-policy-dec-2020.pdf" TargetMode="External"/><Relationship Id="rId2" Type="http://schemas.openxmlformats.org/officeDocument/2006/relationships/customXml" Target="../customXml/item2.xml"/><Relationship Id="rId16" Type="http://schemas.openxmlformats.org/officeDocument/2006/relationships/hyperlink" Target="https://www.jpmorgan.com/content/dam/jpm/global/disclosures/us/20201230-main-execution-policy-dec-2020.pdf" TargetMode="External"/><Relationship Id="rId20" Type="http://schemas.openxmlformats.org/officeDocument/2006/relationships/hyperlink" Target="https://www.jpmorgan.com/content/dam/jpm/global/disclosures/us/20201230-ficc-and-edg-execution-policy-mifid-master-draft-dec2020-app-5.pdf" TargetMode="External"/><Relationship Id="rId29" Type="http://schemas.openxmlformats.org/officeDocument/2006/relationships/hyperlink" Target="https://www.jpmorgan.com/content/dam/jpm/global/disclosures/us/20201230-main-execution-policy-dec-2020.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pmorgan.com/content/dam/jpm/global/disclosures/us/20201230-main-execution-policy-dec-2020.pdf" TargetMode="External"/><Relationship Id="rId24" Type="http://schemas.openxmlformats.org/officeDocument/2006/relationships/hyperlink" Target="https://www.jpmorgan.com/content/dam/jpm/global/disclosures/us/20201230-ficc-and-edg-execution-policy-mifid-master-draft-dec2020-app-5.pdf" TargetMode="External"/><Relationship Id="rId32" Type="http://schemas.openxmlformats.org/officeDocument/2006/relationships/hyperlink" Target="https://www.jpmorgan.com/content/dam/jpm/global/disclosures/us/20201230-main-execution-policy-dec-2020.pdf"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jpmorgan.com/content/dam/jpm/global/disclosures/us/20201230-main-execution-policy-dec-2020.pdf" TargetMode="External"/><Relationship Id="rId23" Type="http://schemas.openxmlformats.org/officeDocument/2006/relationships/hyperlink" Target="https://www.jpmorgan.com/content/dam/jpm/global/disclosures/us/20201230-main-execution-policy-dec-2020.pdf" TargetMode="External"/><Relationship Id="rId28" Type="http://schemas.openxmlformats.org/officeDocument/2006/relationships/hyperlink" Target="https://www.jpmorgan.com/content/dam/jpm/global/disclosures/us/20201230-ficc-and-edg-execution-policy-mifid-master-draft-dec2020-app-5.pdf"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jpmorgan.com/content/dam/jpm/global/disclosures/us/20201230-main-execution-policy-dec-2020.pdf" TargetMode="External"/><Relationship Id="rId31" Type="http://schemas.openxmlformats.org/officeDocument/2006/relationships/hyperlink" Target="https://www.jpmorgan.com/content/dam/jpm/global/disclosures/us/20201230-ficc-and-edg-execution-policy-mifid-master-draft-dec2020-app-5.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jpmorgan.com/content/dam/jpm/global/disclosures/us/20201230-main-execution-policy-dec-2020.pdf" TargetMode="External"/><Relationship Id="rId22" Type="http://schemas.openxmlformats.org/officeDocument/2006/relationships/hyperlink" Target="https://www.jpmorgan.com/content/dam/jpm/global/disclosures/us/20201230-ficc-and-edg-execution-policy-mifid-master-draft-dec2020-app-5.pdf" TargetMode="External"/><Relationship Id="rId27" Type="http://schemas.openxmlformats.org/officeDocument/2006/relationships/hyperlink" Target="https://www.jpmorgan.com/content/dam/jpm/global/disclosures/us/20201230-main-execution-policy-dec-2020.pdf" TargetMode="External"/><Relationship Id="rId30" Type="http://schemas.openxmlformats.org/officeDocument/2006/relationships/hyperlink" Target="https://www.jpmorgan.com/content/dam/jpm/global/disclosures/us/20201230-main-execution-policy-dec-2020.pdf"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Workstream xmlns="7d1f7825-6765-4743-817d-89ed4ea58d4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15B97FB4B31E648B3DB1BA2A88F1E44" ma:contentTypeVersion="2" ma:contentTypeDescription="Create a new document." ma:contentTypeScope="" ma:versionID="a85ea5116c21f0c43888c1bc64c6898b">
  <xsd:schema xmlns:xsd="http://www.w3.org/2001/XMLSchema" xmlns:xs="http://www.w3.org/2001/XMLSchema" xmlns:p="http://schemas.microsoft.com/office/2006/metadata/properties" xmlns:ns2="7d1f7825-6765-4743-817d-89ed4ea58d40" targetNamespace="http://schemas.microsoft.com/office/2006/metadata/properties" ma:root="true" ma:fieldsID="f0ae0dda676d652671f0f351756d588b" ns2:_="">
    <xsd:import namespace="7d1f7825-6765-4743-817d-89ed4ea58d40"/>
    <xsd:element name="properties">
      <xsd:complexType>
        <xsd:sequence>
          <xsd:element name="documentManagement">
            <xsd:complexType>
              <xsd:all>
                <xsd:element ref="ns2:Work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f7825-6765-4743-817d-89ed4ea58d40" elementFormDefault="qualified">
    <xsd:import namespace="http://schemas.microsoft.com/office/2006/documentManagement/types"/>
    <xsd:import namespace="http://schemas.microsoft.com/office/infopath/2007/PartnerControls"/>
    <xsd:element name="Workstream" ma:index="8" nillable="true" ma:displayName="Workstream" ma:list="{936ac5ca-1532-435c-b9e0-574435a95fd7}" ma:internalName="Workstream"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362583-424D-4D41-B8E6-AE082E9FFFA4}">
  <ds:schemaRefs>
    <ds:schemaRef ds:uri="http://schemas.microsoft.com/sharepoint/v3/contenttype/forms"/>
  </ds:schemaRefs>
</ds:datastoreItem>
</file>

<file path=customXml/itemProps2.xml><?xml version="1.0" encoding="utf-8"?>
<ds:datastoreItem xmlns:ds="http://schemas.openxmlformats.org/officeDocument/2006/customXml" ds:itemID="{19EB6311-A195-40CE-96AD-DA0A1F4019D8}">
  <ds:schemaRefs>
    <ds:schemaRef ds:uri="http://schemas.microsoft.com/office/2006/metadata/properties"/>
    <ds:schemaRef ds:uri="http://schemas.microsoft.com/office/infopath/2007/PartnerControls"/>
    <ds:schemaRef ds:uri="7d1f7825-6765-4743-817d-89ed4ea58d40"/>
  </ds:schemaRefs>
</ds:datastoreItem>
</file>

<file path=customXml/itemProps3.xml><?xml version="1.0" encoding="utf-8"?>
<ds:datastoreItem xmlns:ds="http://schemas.openxmlformats.org/officeDocument/2006/customXml" ds:itemID="{075BD049-99AE-449F-8417-D215B1D18D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f7825-6765-4743-817d-89ed4ea58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D22535-7084-4C59-A66A-7444667FA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10</Pages>
  <Words>4074</Words>
  <Characters>23223</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27243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Ruchman, Adam T</dc:creator>
  <cp:lastModifiedBy>Bright, Victoria (CIB OPS, GBR)</cp:lastModifiedBy>
  <cp:revision>5</cp:revision>
  <cp:lastPrinted>2018-04-25T14:14:00Z</cp:lastPrinted>
  <dcterms:created xsi:type="dcterms:W3CDTF">2021-04-16T08:22:00Z</dcterms:created>
  <dcterms:modified xsi:type="dcterms:W3CDTF">2021-04-28T13:06:00Z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0x010100D15B97FB4B31E648B3DB1BA2A88F1E44</vt:lpwstr>
  </property>
</Properties>
</file>